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B1A3D" w14:textId="77777777" w:rsidR="007B16F6" w:rsidRDefault="00F67D1C" w:rsidP="00F67D1C">
      <w:pPr>
        <w:pStyle w:val="NoSpacing"/>
        <w:rPr>
          <w:rFonts w:ascii="Century Gothic" w:hAnsi="Century Gothic"/>
          <w:b/>
        </w:rPr>
      </w:pPr>
      <w:bookmarkStart w:id="0" w:name="_GoBack"/>
      <w:bookmarkEnd w:id="0"/>
      <w:r w:rsidRPr="000B7381">
        <w:rPr>
          <w:rFonts w:ascii="Century Gothic" w:hAnsi="Century Gothic"/>
          <w:b/>
        </w:rPr>
        <w:t xml:space="preserve">SHCA Briefing Materials for Westminster Hall debate on </w:t>
      </w:r>
      <w:r w:rsidR="0008472F" w:rsidRPr="000B7381">
        <w:rPr>
          <w:rFonts w:ascii="Century Gothic" w:hAnsi="Century Gothic"/>
          <w:b/>
        </w:rPr>
        <w:t xml:space="preserve">national commissioning of NHS </w:t>
      </w:r>
      <w:r w:rsidRPr="000B7381">
        <w:rPr>
          <w:rFonts w:ascii="Century Gothic" w:hAnsi="Century Gothic"/>
          <w:b/>
        </w:rPr>
        <w:t>specialised services</w:t>
      </w:r>
    </w:p>
    <w:p w14:paraId="48F06E7E" w14:textId="284A49F0" w:rsidR="00F67D1C" w:rsidRPr="000B7381" w:rsidRDefault="00F67D1C" w:rsidP="00F67D1C">
      <w:pPr>
        <w:pStyle w:val="NoSpacing"/>
        <w:rPr>
          <w:rFonts w:ascii="Century Gothic" w:hAnsi="Century Gothic"/>
          <w:b/>
        </w:rPr>
      </w:pPr>
      <w:r w:rsidRPr="000B7381">
        <w:rPr>
          <w:rFonts w:ascii="Century Gothic" w:hAnsi="Century Gothic"/>
          <w:b/>
        </w:rPr>
        <w:br/>
        <w:t>Thursday 15</w:t>
      </w:r>
      <w:r w:rsidRPr="000B7381">
        <w:rPr>
          <w:rFonts w:ascii="Century Gothic" w:hAnsi="Century Gothic"/>
          <w:b/>
          <w:vertAlign w:val="superscript"/>
        </w:rPr>
        <w:t>th</w:t>
      </w:r>
      <w:r w:rsidRPr="000B7381">
        <w:rPr>
          <w:rFonts w:ascii="Century Gothic" w:hAnsi="Century Gothic"/>
          <w:b/>
        </w:rPr>
        <w:t xml:space="preserve"> January, 1.30pm.  Led by Stephen Gilbert MP.</w:t>
      </w:r>
    </w:p>
    <w:p w14:paraId="4ACBB4E9" w14:textId="77777777" w:rsidR="00F67D1C" w:rsidRPr="000B7381" w:rsidRDefault="00F67D1C" w:rsidP="00F67D1C">
      <w:pPr>
        <w:pStyle w:val="NoSpacing"/>
        <w:rPr>
          <w:rFonts w:ascii="Century Gothic" w:hAnsi="Century Gothic"/>
          <w:b/>
        </w:rPr>
      </w:pPr>
    </w:p>
    <w:p w14:paraId="03E82005" w14:textId="77777777" w:rsidR="00F67D1C" w:rsidRPr="000B7381" w:rsidRDefault="00F67D1C" w:rsidP="00F67D1C">
      <w:pPr>
        <w:pStyle w:val="NoSpacing"/>
        <w:rPr>
          <w:rFonts w:ascii="Century Gothic" w:hAnsi="Century Gothic"/>
          <w:b/>
        </w:rPr>
      </w:pPr>
      <w:r w:rsidRPr="000B7381">
        <w:rPr>
          <w:rFonts w:ascii="Century Gothic" w:hAnsi="Century Gothic"/>
          <w:b/>
        </w:rPr>
        <w:t>What are specialised services?</w:t>
      </w:r>
    </w:p>
    <w:p w14:paraId="7B211D54" w14:textId="77777777" w:rsidR="00F67D1C" w:rsidRPr="000B7381" w:rsidRDefault="00F67D1C" w:rsidP="00F67D1C">
      <w:pPr>
        <w:pStyle w:val="NoSpacing"/>
        <w:rPr>
          <w:rFonts w:ascii="Century Gothic" w:hAnsi="Century Gothic"/>
          <w:b/>
        </w:rPr>
      </w:pPr>
    </w:p>
    <w:p w14:paraId="406F2497"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Bold"/>
          <w:b/>
          <w:bCs/>
        </w:rPr>
      </w:pPr>
      <w:r w:rsidRPr="000B7381">
        <w:rPr>
          <w:rFonts w:ascii="Century Gothic" w:eastAsiaTheme="minorHAnsi" w:hAnsi="Century Gothic" w:cs="CenturyGothic,Bold"/>
          <w:b/>
          <w:bCs/>
        </w:rPr>
        <w:t>Specialised services are those which cannot sensibly be planned, procured and</w:t>
      </w:r>
    </w:p>
    <w:p w14:paraId="02DB7F1D"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roofErr w:type="gramStart"/>
      <w:r w:rsidRPr="000B7381">
        <w:rPr>
          <w:rFonts w:ascii="Century Gothic" w:eastAsiaTheme="minorHAnsi" w:hAnsi="Century Gothic" w:cs="CenturyGothic,Bold"/>
          <w:b/>
          <w:bCs/>
        </w:rPr>
        <w:t>provided</w:t>
      </w:r>
      <w:proofErr w:type="gramEnd"/>
      <w:r w:rsidRPr="000B7381">
        <w:rPr>
          <w:rFonts w:ascii="Century Gothic" w:eastAsiaTheme="minorHAnsi" w:hAnsi="Century Gothic" w:cs="CenturyGothic,Bold"/>
          <w:b/>
          <w:bCs/>
        </w:rPr>
        <w:t xml:space="preserve"> at a local level</w:t>
      </w:r>
      <w:r w:rsidRPr="000B7381">
        <w:rPr>
          <w:rFonts w:ascii="Century Gothic" w:eastAsiaTheme="minorHAnsi" w:hAnsi="Century Gothic" w:cs="CenturyGothic"/>
        </w:rPr>
        <w:t>, typically covering a population of more than one million</w:t>
      </w:r>
    </w:p>
    <w:p w14:paraId="39A82F3D"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roofErr w:type="gramStart"/>
      <w:r w:rsidRPr="000B7381">
        <w:rPr>
          <w:rFonts w:ascii="Century Gothic" w:eastAsiaTheme="minorHAnsi" w:hAnsi="Century Gothic" w:cs="CenturyGothic"/>
        </w:rPr>
        <w:t>people</w:t>
      </w:r>
      <w:proofErr w:type="gramEnd"/>
      <w:r w:rsidRPr="000B7381">
        <w:rPr>
          <w:rFonts w:ascii="Century Gothic" w:eastAsiaTheme="minorHAnsi" w:hAnsi="Century Gothic" w:cs="CenturyGothic"/>
        </w:rPr>
        <w:t xml:space="preserve">. </w:t>
      </w:r>
    </w:p>
    <w:p w14:paraId="0428F761"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
    <w:p w14:paraId="32A701E8"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r w:rsidRPr="000B7381">
        <w:rPr>
          <w:rFonts w:ascii="Century Gothic" w:eastAsiaTheme="minorHAnsi" w:hAnsi="Century Gothic" w:cs="CenturyGothic"/>
        </w:rPr>
        <w:t>Specialised services matter to everyone. The Health and Social Care Act</w:t>
      </w:r>
    </w:p>
    <w:p w14:paraId="4C00E790"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r w:rsidRPr="000B7381">
        <w:rPr>
          <w:rFonts w:ascii="Century Gothic" w:eastAsiaTheme="minorHAnsi" w:hAnsi="Century Gothic" w:cs="CenturyGothic"/>
        </w:rPr>
        <w:t>2012 enables the Secretary of State for Health to prescribe (specialised) services to</w:t>
      </w:r>
    </w:p>
    <w:p w14:paraId="59C067B0"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roofErr w:type="gramStart"/>
      <w:r w:rsidRPr="000B7381">
        <w:rPr>
          <w:rFonts w:ascii="Century Gothic" w:eastAsiaTheme="minorHAnsi" w:hAnsi="Century Gothic" w:cs="CenturyGothic"/>
        </w:rPr>
        <w:t>be</w:t>
      </w:r>
      <w:proofErr w:type="gramEnd"/>
      <w:r w:rsidRPr="000B7381">
        <w:rPr>
          <w:rFonts w:ascii="Century Gothic" w:eastAsiaTheme="minorHAnsi" w:hAnsi="Century Gothic" w:cs="CenturyGothic"/>
        </w:rPr>
        <w:t xml:space="preserve"> commissioned directly by NHS England having regard to:</w:t>
      </w:r>
    </w:p>
    <w:p w14:paraId="4556A5C0"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
    <w:p w14:paraId="28219649" w14:textId="6BB648CD" w:rsidR="0008472F" w:rsidRPr="000B7381" w:rsidRDefault="0008472F" w:rsidP="000B7381">
      <w:pPr>
        <w:pStyle w:val="ListParagraph"/>
        <w:numPr>
          <w:ilvl w:val="0"/>
          <w:numId w:val="4"/>
        </w:numPr>
        <w:autoSpaceDE w:val="0"/>
        <w:autoSpaceDN w:val="0"/>
        <w:adjustRightInd w:val="0"/>
        <w:rPr>
          <w:rFonts w:cs="CenturyGothic"/>
        </w:rPr>
      </w:pPr>
      <w:r w:rsidRPr="000B7381">
        <w:rPr>
          <w:rFonts w:cs="CenturyGothic"/>
        </w:rPr>
        <w:t>the number of individuals who require the provision of the service or facility</w:t>
      </w:r>
    </w:p>
    <w:p w14:paraId="2B8F38B3" w14:textId="0A1B3F8A" w:rsidR="0008472F" w:rsidRPr="000B7381" w:rsidRDefault="0008472F" w:rsidP="000B7381">
      <w:pPr>
        <w:pStyle w:val="ListParagraph"/>
        <w:numPr>
          <w:ilvl w:val="0"/>
          <w:numId w:val="4"/>
        </w:numPr>
        <w:autoSpaceDE w:val="0"/>
        <w:autoSpaceDN w:val="0"/>
        <w:adjustRightInd w:val="0"/>
        <w:rPr>
          <w:rFonts w:cs="CenturyGothic"/>
        </w:rPr>
      </w:pPr>
      <w:r w:rsidRPr="000B7381">
        <w:rPr>
          <w:rFonts w:cs="CenturyGothic"/>
        </w:rPr>
        <w:t>the cost of providing the service or facility</w:t>
      </w:r>
    </w:p>
    <w:p w14:paraId="307EFE20" w14:textId="136056C1" w:rsidR="0008472F" w:rsidRPr="000B7381" w:rsidRDefault="0008472F" w:rsidP="000B7381">
      <w:pPr>
        <w:pStyle w:val="ListParagraph"/>
        <w:numPr>
          <w:ilvl w:val="0"/>
          <w:numId w:val="4"/>
        </w:numPr>
        <w:autoSpaceDE w:val="0"/>
        <w:autoSpaceDN w:val="0"/>
        <w:adjustRightInd w:val="0"/>
        <w:rPr>
          <w:rFonts w:cs="CenturyGothic"/>
        </w:rPr>
      </w:pPr>
      <w:r w:rsidRPr="000B7381">
        <w:rPr>
          <w:rFonts w:cs="CenturyGothic"/>
        </w:rPr>
        <w:t>the number of persons able to provide the service or facility</w:t>
      </w:r>
    </w:p>
    <w:p w14:paraId="12E7D5F6" w14:textId="76BBAD3A" w:rsidR="0008472F" w:rsidRPr="000B7381" w:rsidRDefault="0008472F" w:rsidP="000B7381">
      <w:pPr>
        <w:pStyle w:val="ListParagraph"/>
        <w:numPr>
          <w:ilvl w:val="0"/>
          <w:numId w:val="4"/>
        </w:numPr>
        <w:autoSpaceDE w:val="0"/>
        <w:autoSpaceDN w:val="0"/>
        <w:adjustRightInd w:val="0"/>
        <w:rPr>
          <w:rFonts w:cs="CenturyGothic"/>
        </w:rPr>
      </w:pPr>
      <w:proofErr w:type="gramStart"/>
      <w:r w:rsidRPr="000B7381">
        <w:rPr>
          <w:rFonts w:cs="CenturyGothic"/>
        </w:rPr>
        <w:t>the</w:t>
      </w:r>
      <w:proofErr w:type="gramEnd"/>
      <w:r w:rsidRPr="000B7381">
        <w:rPr>
          <w:rFonts w:cs="CenturyGothic"/>
        </w:rPr>
        <w:t xml:space="preserve"> financial implications for clinical commissioning groups if they were required to arrange for the provision of the service or facility.</w:t>
      </w:r>
    </w:p>
    <w:p w14:paraId="63080B04"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
    <w:p w14:paraId="469B91B0"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Bold"/>
          <w:b/>
          <w:bCs/>
        </w:rPr>
      </w:pPr>
      <w:r w:rsidRPr="000B7381">
        <w:rPr>
          <w:rFonts w:ascii="Century Gothic" w:eastAsiaTheme="minorHAnsi" w:hAnsi="Century Gothic" w:cs="CenturyGothic"/>
        </w:rPr>
        <w:t xml:space="preserve">Collectively, specialised services treat </w:t>
      </w:r>
      <w:r w:rsidRPr="000B7381">
        <w:rPr>
          <w:rFonts w:ascii="Century Gothic" w:eastAsiaTheme="minorHAnsi" w:hAnsi="Century Gothic" w:cs="CenturyGothic,Bold"/>
          <w:b/>
          <w:bCs/>
        </w:rPr>
        <w:t>hundreds of thousands of patients every year.</w:t>
      </w:r>
    </w:p>
    <w:p w14:paraId="5930E2BB"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r w:rsidRPr="000B7381">
        <w:rPr>
          <w:rFonts w:ascii="Century Gothic" w:eastAsiaTheme="minorHAnsi" w:hAnsi="Century Gothic" w:cs="CenturyGothic"/>
        </w:rPr>
        <w:t>Many specialised services provide for people with rare genetic disorders, while</w:t>
      </w:r>
    </w:p>
    <w:p w14:paraId="4376F8F3"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roofErr w:type="gramStart"/>
      <w:r w:rsidRPr="000B7381">
        <w:rPr>
          <w:rFonts w:ascii="Century Gothic" w:eastAsiaTheme="minorHAnsi" w:hAnsi="Century Gothic" w:cs="CenturyGothic"/>
        </w:rPr>
        <w:t>anyone</w:t>
      </w:r>
      <w:proofErr w:type="gramEnd"/>
      <w:r w:rsidRPr="000B7381">
        <w:rPr>
          <w:rFonts w:ascii="Century Gothic" w:eastAsiaTheme="minorHAnsi" w:hAnsi="Century Gothic" w:cs="CenturyGothic"/>
        </w:rPr>
        <w:t xml:space="preserve"> might need to call upon others, such as those for spinal injuries and serious</w:t>
      </w:r>
    </w:p>
    <w:p w14:paraId="46395406" w14:textId="77777777" w:rsidR="0008472F" w:rsidRPr="000B7381" w:rsidRDefault="0008472F" w:rsidP="0008472F">
      <w:pPr>
        <w:autoSpaceDE w:val="0"/>
        <w:autoSpaceDN w:val="0"/>
        <w:adjustRightInd w:val="0"/>
        <w:spacing w:after="0" w:line="240" w:lineRule="auto"/>
        <w:rPr>
          <w:rFonts w:ascii="Century Gothic" w:eastAsiaTheme="minorHAnsi" w:hAnsi="Century Gothic" w:cs="CenturyGothic"/>
        </w:rPr>
      </w:pPr>
      <w:proofErr w:type="gramStart"/>
      <w:r w:rsidRPr="000B7381">
        <w:rPr>
          <w:rFonts w:ascii="Century Gothic" w:eastAsiaTheme="minorHAnsi" w:hAnsi="Century Gothic" w:cs="CenturyGothic"/>
        </w:rPr>
        <w:t>burns</w:t>
      </w:r>
      <w:proofErr w:type="gramEnd"/>
      <w:r w:rsidRPr="000B7381">
        <w:rPr>
          <w:rFonts w:ascii="Century Gothic" w:eastAsiaTheme="minorHAnsi" w:hAnsi="Century Gothic" w:cs="CenturyGothic"/>
        </w:rPr>
        <w:t>. In April 2013, NHS England became the sole direct commissioner of all</w:t>
      </w:r>
    </w:p>
    <w:p w14:paraId="20594A8A" w14:textId="77777777" w:rsidR="00F67D1C" w:rsidRPr="000B7381" w:rsidRDefault="0008472F" w:rsidP="0008472F">
      <w:pPr>
        <w:pStyle w:val="NoSpacing"/>
        <w:rPr>
          <w:rFonts w:ascii="Century Gothic" w:hAnsi="Century Gothic"/>
          <w:b/>
        </w:rPr>
      </w:pPr>
      <w:proofErr w:type="gramStart"/>
      <w:r w:rsidRPr="000B7381">
        <w:rPr>
          <w:rFonts w:ascii="Century Gothic" w:eastAsiaTheme="minorHAnsi" w:hAnsi="Century Gothic" w:cs="CenturyGothic"/>
        </w:rPr>
        <w:t>specialised</w:t>
      </w:r>
      <w:proofErr w:type="gramEnd"/>
      <w:r w:rsidRPr="000B7381">
        <w:rPr>
          <w:rFonts w:ascii="Century Gothic" w:eastAsiaTheme="minorHAnsi" w:hAnsi="Century Gothic" w:cs="CenturyGothic"/>
        </w:rPr>
        <w:t xml:space="preserve"> services.</w:t>
      </w:r>
      <w:r w:rsidRPr="000B7381">
        <w:rPr>
          <w:rFonts w:ascii="Century Gothic" w:eastAsiaTheme="minorHAnsi" w:hAnsi="Century Gothic" w:cs="CenturyGothic"/>
          <w:b/>
        </w:rPr>
        <w:t xml:space="preserve">  The budget for these services in 2015/16 is £14.6billion.</w:t>
      </w:r>
    </w:p>
    <w:p w14:paraId="1C8D5A3D" w14:textId="77777777" w:rsidR="00F67D1C" w:rsidRPr="000B7381" w:rsidRDefault="00F67D1C" w:rsidP="00F67D1C">
      <w:pPr>
        <w:pStyle w:val="NoSpacing"/>
        <w:rPr>
          <w:rFonts w:ascii="Century Gothic" w:hAnsi="Century Gothic"/>
          <w:b/>
        </w:rPr>
      </w:pPr>
    </w:p>
    <w:p w14:paraId="75CBA249" w14:textId="77777777" w:rsidR="00F67D1C" w:rsidRPr="000B7381" w:rsidRDefault="00F67D1C" w:rsidP="00F67D1C">
      <w:pPr>
        <w:pStyle w:val="NoSpacing"/>
        <w:rPr>
          <w:rFonts w:ascii="Century Gothic" w:hAnsi="Century Gothic"/>
          <w:b/>
        </w:rPr>
      </w:pPr>
    </w:p>
    <w:p w14:paraId="3DF83408" w14:textId="77777777" w:rsidR="006E5DE7" w:rsidRPr="000B7381" w:rsidRDefault="0008472F" w:rsidP="006E5DE7">
      <w:pPr>
        <w:autoSpaceDE w:val="0"/>
        <w:autoSpaceDN w:val="0"/>
        <w:adjustRightInd w:val="0"/>
        <w:spacing w:after="0" w:line="240" w:lineRule="auto"/>
        <w:rPr>
          <w:rFonts w:ascii="Century Gothic" w:eastAsiaTheme="minorHAnsi" w:hAnsi="Century Gothic" w:cs="CenturyGothic-Bold"/>
          <w:b/>
          <w:bCs/>
        </w:rPr>
      </w:pPr>
      <w:r w:rsidRPr="000B7381">
        <w:rPr>
          <w:rFonts w:ascii="Century Gothic" w:hAnsi="Century Gothic"/>
          <w:b/>
        </w:rPr>
        <w:t>What is national commissioning?</w:t>
      </w:r>
      <w:r w:rsidRPr="000B7381">
        <w:rPr>
          <w:rFonts w:ascii="Century Gothic" w:hAnsi="Century Gothic"/>
          <w:b/>
        </w:rPr>
        <w:br/>
      </w:r>
      <w:r w:rsidRPr="000B7381">
        <w:rPr>
          <w:rFonts w:ascii="Century Gothic" w:hAnsi="Century Gothic"/>
          <w:b/>
        </w:rPr>
        <w:br/>
      </w:r>
      <w:r w:rsidR="006E5DE7" w:rsidRPr="000B7381">
        <w:rPr>
          <w:rFonts w:ascii="Century Gothic" w:eastAsiaTheme="minorHAnsi" w:hAnsi="Century Gothic" w:cs="CenturyGothic-Bold"/>
          <w:b/>
          <w:bCs/>
        </w:rPr>
        <w:t>Specialised services are best planned at larger population levels.</w:t>
      </w:r>
    </w:p>
    <w:p w14:paraId="73FC12FE" w14:textId="77777777" w:rsidR="006E5DE7" w:rsidRPr="000B7381" w:rsidRDefault="006E5DE7" w:rsidP="006E5DE7">
      <w:pPr>
        <w:autoSpaceDE w:val="0"/>
        <w:autoSpaceDN w:val="0"/>
        <w:adjustRightInd w:val="0"/>
        <w:spacing w:after="0" w:line="240" w:lineRule="auto"/>
        <w:rPr>
          <w:rFonts w:ascii="Century Gothic" w:eastAsiaTheme="minorHAnsi" w:hAnsi="Century Gothic" w:cs="CenturyGothic-Bold"/>
          <w:b/>
          <w:bCs/>
        </w:rPr>
      </w:pPr>
    </w:p>
    <w:p w14:paraId="364DECB3" w14:textId="78AAC92D" w:rsidR="006E5DE7" w:rsidRPr="000B7381" w:rsidRDefault="006E5DE7" w:rsidP="006E5DE7">
      <w:pPr>
        <w:autoSpaceDE w:val="0"/>
        <w:autoSpaceDN w:val="0"/>
        <w:adjustRightInd w:val="0"/>
        <w:spacing w:after="0" w:line="240" w:lineRule="auto"/>
        <w:rPr>
          <w:rFonts w:ascii="Century Gothic" w:eastAsiaTheme="minorHAnsi" w:hAnsi="Century Gothic" w:cs="CenturyGothic"/>
        </w:rPr>
      </w:pPr>
      <w:r w:rsidRPr="000B7381">
        <w:rPr>
          <w:rFonts w:ascii="Century Gothic" w:eastAsiaTheme="minorHAnsi" w:hAnsi="Century Gothic" w:cs="CenturyGothic"/>
        </w:rPr>
        <w:t xml:space="preserve">Funding of specialised services from local budgets previously led to unacceptable local variation in access to treatments, and fragmentation of expertise </w:t>
      </w:r>
      <w:proofErr w:type="gramStart"/>
      <w:r w:rsidRPr="000B7381">
        <w:rPr>
          <w:rFonts w:ascii="Century Gothic" w:eastAsiaTheme="minorHAnsi" w:hAnsi="Century Gothic" w:cs="CenturyGothic"/>
        </w:rPr>
        <w:t xml:space="preserve">in </w:t>
      </w:r>
      <w:r w:rsidR="000B7381" w:rsidRPr="000B7381">
        <w:rPr>
          <w:rFonts w:ascii="Century Gothic" w:eastAsiaTheme="minorHAnsi" w:hAnsi="Century Gothic" w:cs="CenturyGothic"/>
        </w:rPr>
        <w:t xml:space="preserve"> c</w:t>
      </w:r>
      <w:r w:rsidRPr="000B7381">
        <w:rPr>
          <w:rFonts w:ascii="Century Gothic" w:eastAsiaTheme="minorHAnsi" w:hAnsi="Century Gothic" w:cs="CenturyGothic"/>
        </w:rPr>
        <w:t>ommissioning</w:t>
      </w:r>
      <w:proofErr w:type="gramEnd"/>
      <w:r w:rsidRPr="000B7381">
        <w:rPr>
          <w:rFonts w:ascii="Century Gothic" w:eastAsiaTheme="minorHAnsi" w:hAnsi="Century Gothic" w:cs="CenturyGothic"/>
        </w:rPr>
        <w:t xml:space="preserve"> these services.</w:t>
      </w:r>
    </w:p>
    <w:p w14:paraId="7FE5BF46" w14:textId="77777777" w:rsidR="006E5DE7" w:rsidRPr="000B7381" w:rsidRDefault="006E5DE7" w:rsidP="006E5DE7">
      <w:pPr>
        <w:autoSpaceDE w:val="0"/>
        <w:autoSpaceDN w:val="0"/>
        <w:adjustRightInd w:val="0"/>
        <w:spacing w:after="0" w:line="240" w:lineRule="auto"/>
        <w:rPr>
          <w:rFonts w:ascii="Century Gothic" w:eastAsiaTheme="minorHAnsi" w:hAnsi="Century Gothic" w:cs="CenturyGothic"/>
        </w:rPr>
      </w:pPr>
    </w:p>
    <w:p w14:paraId="65B9FC6B" w14:textId="3873A97F" w:rsidR="006E5DE7" w:rsidRPr="000B7381" w:rsidRDefault="006E5DE7" w:rsidP="006E5DE7">
      <w:pPr>
        <w:autoSpaceDE w:val="0"/>
        <w:autoSpaceDN w:val="0"/>
        <w:adjustRightInd w:val="0"/>
        <w:spacing w:after="0" w:line="240" w:lineRule="auto"/>
        <w:rPr>
          <w:rFonts w:ascii="Century Gothic" w:eastAsiaTheme="minorHAnsi" w:hAnsi="Century Gothic" w:cs="CenturyGothic"/>
        </w:rPr>
      </w:pPr>
      <w:r w:rsidRPr="000B7381">
        <w:rPr>
          <w:rFonts w:ascii="Century Gothic" w:eastAsiaTheme="minorHAnsi" w:hAnsi="Century Gothic" w:cs="CenturyGothic"/>
        </w:rPr>
        <w:t xml:space="preserve">The most complex services benefit from </w:t>
      </w:r>
      <w:r w:rsidRPr="000B7381">
        <w:rPr>
          <w:rFonts w:ascii="Century Gothic" w:eastAsiaTheme="minorHAnsi" w:hAnsi="Century Gothic" w:cs="CenturyGothic-Bold"/>
          <w:b/>
          <w:bCs/>
        </w:rPr>
        <w:t xml:space="preserve">centralisation and specialisation </w:t>
      </w:r>
      <w:r w:rsidRPr="000B7381">
        <w:rPr>
          <w:rFonts w:ascii="Century Gothic" w:eastAsiaTheme="minorHAnsi" w:hAnsi="Century Gothic" w:cs="CenturyGothic"/>
        </w:rPr>
        <w:t xml:space="preserve">of care, with higher numbers of procedures offered in a smaller number of centres, so that </w:t>
      </w:r>
      <w:r w:rsidRPr="000B7381">
        <w:rPr>
          <w:rFonts w:ascii="Century Gothic" w:eastAsiaTheme="minorHAnsi" w:hAnsi="Century Gothic" w:cs="CenturyGothic-Bold"/>
          <w:b/>
          <w:bCs/>
        </w:rPr>
        <w:t>clinical expertise can be developed to increase patient outcomes</w:t>
      </w:r>
      <w:r w:rsidRPr="000B7381">
        <w:rPr>
          <w:rFonts w:ascii="Century Gothic" w:eastAsiaTheme="minorHAnsi" w:hAnsi="Century Gothic" w:cs="CenturyGothic"/>
        </w:rPr>
        <w:t>.</w:t>
      </w:r>
    </w:p>
    <w:p w14:paraId="483A3811" w14:textId="77777777" w:rsidR="006E5DE7" w:rsidRPr="000B7381" w:rsidRDefault="006E5DE7" w:rsidP="006E5DE7">
      <w:pPr>
        <w:autoSpaceDE w:val="0"/>
        <w:autoSpaceDN w:val="0"/>
        <w:adjustRightInd w:val="0"/>
        <w:spacing w:after="0" w:line="240" w:lineRule="auto"/>
        <w:rPr>
          <w:rFonts w:ascii="Century Gothic" w:eastAsiaTheme="minorHAnsi" w:hAnsi="Century Gothic" w:cs="CenturyGothic"/>
        </w:rPr>
      </w:pPr>
    </w:p>
    <w:p w14:paraId="7C85C73A" w14:textId="7E781B9B" w:rsidR="006E5DE7" w:rsidRPr="000B7381" w:rsidRDefault="006E5DE7" w:rsidP="006E5DE7">
      <w:pPr>
        <w:autoSpaceDE w:val="0"/>
        <w:autoSpaceDN w:val="0"/>
        <w:adjustRightInd w:val="0"/>
        <w:spacing w:after="0" w:line="240" w:lineRule="auto"/>
        <w:rPr>
          <w:rFonts w:ascii="Century Gothic" w:eastAsiaTheme="minorHAnsi" w:hAnsi="Century Gothic" w:cs="CenturyGothic-Bold"/>
          <w:b/>
          <w:bCs/>
        </w:rPr>
      </w:pPr>
      <w:r w:rsidRPr="000B7381">
        <w:rPr>
          <w:rFonts w:ascii="Century Gothic" w:eastAsiaTheme="minorHAnsi" w:hAnsi="Century Gothic" w:cs="CenturyGothic"/>
        </w:rPr>
        <w:t>National commissioning, with a consolidated budget, can enable sensible planning of these</w:t>
      </w:r>
      <w:r w:rsidR="000B7381" w:rsidRPr="000B7381">
        <w:rPr>
          <w:rFonts w:ascii="Century Gothic" w:eastAsiaTheme="minorHAnsi" w:hAnsi="Century Gothic" w:cs="CenturyGothic"/>
        </w:rPr>
        <w:t xml:space="preserve"> </w:t>
      </w:r>
      <w:r w:rsidRPr="000B7381">
        <w:rPr>
          <w:rFonts w:ascii="Century Gothic" w:eastAsiaTheme="minorHAnsi" w:hAnsi="Century Gothic" w:cs="CenturyGothic"/>
        </w:rPr>
        <w:t xml:space="preserve">services </w:t>
      </w:r>
      <w:r w:rsidRPr="000B7381">
        <w:rPr>
          <w:rFonts w:ascii="Century Gothic" w:eastAsiaTheme="minorHAnsi" w:hAnsi="Century Gothic" w:cs="CenturyGothic-Bold"/>
          <w:bCs/>
        </w:rPr>
        <w:t>for the benefit of people in all localities</w:t>
      </w:r>
      <w:r w:rsidRPr="000B7381">
        <w:rPr>
          <w:rFonts w:ascii="Century Gothic" w:eastAsiaTheme="minorHAnsi" w:hAnsi="Century Gothic" w:cs="CenturyGothic-Bold"/>
          <w:b/>
          <w:bCs/>
        </w:rPr>
        <w:t>.</w:t>
      </w:r>
      <w:r w:rsidR="000B7381" w:rsidRPr="000B7381">
        <w:rPr>
          <w:rFonts w:ascii="Century Gothic" w:eastAsiaTheme="minorHAnsi" w:hAnsi="Century Gothic" w:cs="CenturyGothic-Bold"/>
          <w:b/>
          <w:bCs/>
        </w:rPr>
        <w:t xml:space="preserve">  This attracted cross-party support during the passage of the 2012 Act.</w:t>
      </w:r>
    </w:p>
    <w:p w14:paraId="2CF092A4" w14:textId="278AB886" w:rsidR="006E5DE7" w:rsidRPr="000B7381" w:rsidRDefault="000B7381" w:rsidP="006E5DE7">
      <w:pPr>
        <w:pStyle w:val="NoSpacing"/>
        <w:rPr>
          <w:rFonts w:ascii="Century Gothic" w:eastAsiaTheme="minorHAnsi" w:hAnsi="Century Gothic" w:cs="CenturyGothic-Bold"/>
          <w:b/>
          <w:bCs/>
        </w:rPr>
      </w:pPr>
      <w:r w:rsidRPr="000B7381">
        <w:rPr>
          <w:rFonts w:ascii="Century Gothic" w:eastAsiaTheme="minorHAnsi" w:hAnsi="Century Gothic" w:cs="CenturyGothic-Bold"/>
          <w:b/>
          <w:bCs/>
          <w:noProof/>
          <w:lang w:val="en-US"/>
        </w:rPr>
        <mc:AlternateContent>
          <mc:Choice Requires="wps">
            <w:drawing>
              <wp:anchor distT="0" distB="0" distL="114300" distR="114300" simplePos="0" relativeHeight="251659264" behindDoc="1" locked="0" layoutInCell="1" allowOverlap="1" wp14:anchorId="53DE4467" wp14:editId="3A4EAA82">
                <wp:simplePos x="0" y="0"/>
                <wp:positionH relativeFrom="margin">
                  <wp:align>left</wp:align>
                </wp:positionH>
                <wp:positionV relativeFrom="paragraph">
                  <wp:posOffset>177800</wp:posOffset>
                </wp:positionV>
                <wp:extent cx="5915025" cy="1066800"/>
                <wp:effectExtent l="0" t="0" r="28575" b="19050"/>
                <wp:wrapTight wrapText="bothSides">
                  <wp:wrapPolygon edited="0">
                    <wp:start x="0" y="0"/>
                    <wp:lineTo x="0" y="21600"/>
                    <wp:lineTo x="21635" y="21600"/>
                    <wp:lineTo x="21635" y="0"/>
                    <wp:lineTo x="0" y="0"/>
                  </wp:wrapPolygon>
                </wp:wrapTight>
                <wp:docPr id="1" name="Rectangle 1"/>
                <wp:cNvGraphicFramePr/>
                <a:graphic xmlns:a="http://schemas.openxmlformats.org/drawingml/2006/main">
                  <a:graphicData uri="http://schemas.microsoft.com/office/word/2010/wordprocessingShape">
                    <wps:wsp>
                      <wps:cNvSpPr/>
                      <wps:spPr>
                        <a:xfrm>
                          <a:off x="0" y="0"/>
                          <a:ext cx="5915025"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F445A" w14:textId="6F6296A6" w:rsidR="006E5DE7" w:rsidRDefault="006E5DE7" w:rsidP="006E5DE7">
                            <w:pPr>
                              <w:pStyle w:val="ListParagraph"/>
                              <w:numPr>
                                <w:ilvl w:val="0"/>
                                <w:numId w:val="2"/>
                              </w:numPr>
                            </w:pPr>
                            <w:r>
                              <w:t xml:space="preserve">In 2010 the Health Select Committee reported that, when specialised commissioning fell to local Primary Care Trusts it sat </w:t>
                            </w:r>
                            <w:r w:rsidRPr="006E5DE7">
                              <w:rPr>
                                <w:b/>
                              </w:rPr>
                              <w:t>“in a ‘limbo’, where it is not properly regulated, performance managed, scrutinised or held to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3DE4467" id="Rectangle 1" o:spid="_x0000_s1026" style="position:absolute;margin-left:0;margin-top:14pt;width:465.75pt;height:8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" fillcolor="#5b9bd5 [3204]" strokecolor="#1f4d78 [1604]" strokeweight="1pt">
                <v:textbox>
                  <w:txbxContent>
                    <w:p w14:paraId="076F445A" w14:textId="6F6296A6" w:rsidR="006E5DE7" w:rsidRDefault="006E5DE7" w:rsidP="006E5DE7">
                      <w:pPr>
                        <w:pStyle w:val="ListParagraph"/>
                        <w:numPr>
                          <w:ilvl w:val="0"/>
                          <w:numId w:val="2"/>
                        </w:numPr>
                      </w:pPr>
                      <w:r>
                        <w:t>In 2010 the Health Select Committee reported that, when specialised commissioning fell to local Primary Care Trusts it sat</w:t>
                      </w:r>
                      <w:r>
                        <w:t xml:space="preserve"> </w:t>
                      </w:r>
                      <w:r w:rsidRPr="006E5DE7">
                        <w:rPr>
                          <w:b/>
                        </w:rPr>
                        <w:t>“in a ‘</w:t>
                      </w:r>
                      <w:r w:rsidRPr="006E5DE7">
                        <w:rPr>
                          <w:b/>
                        </w:rPr>
                        <w:t>limbo</w:t>
                      </w:r>
                      <w:r w:rsidRPr="006E5DE7">
                        <w:rPr>
                          <w:b/>
                        </w:rPr>
                        <w:t>’</w:t>
                      </w:r>
                      <w:r w:rsidRPr="006E5DE7">
                        <w:rPr>
                          <w:b/>
                        </w:rPr>
                        <w:t>, where it is</w:t>
                      </w:r>
                      <w:r w:rsidRPr="006E5DE7">
                        <w:rPr>
                          <w:b/>
                        </w:rPr>
                        <w:t xml:space="preserve"> </w:t>
                      </w:r>
                      <w:r w:rsidRPr="006E5DE7">
                        <w:rPr>
                          <w:b/>
                        </w:rPr>
                        <w:t>not properly regulated, performance managed, scrutinised or held to</w:t>
                      </w:r>
                      <w:r w:rsidRPr="006E5DE7">
                        <w:rPr>
                          <w:b/>
                        </w:rPr>
                        <w:t xml:space="preserve"> </w:t>
                      </w:r>
                      <w:r w:rsidRPr="006E5DE7">
                        <w:rPr>
                          <w:b/>
                        </w:rPr>
                        <w:t>account.</w:t>
                      </w:r>
                      <w:r w:rsidRPr="006E5DE7">
                        <w:rPr>
                          <w:b/>
                        </w:rPr>
                        <w:t>”</w:t>
                      </w:r>
                    </w:p>
                  </w:txbxContent>
                </v:textbox>
                <w10:wrap type="tight" anchorx="margin"/>
              </v:rect>
            </w:pict>
          </mc:Fallback>
        </mc:AlternateContent>
      </w:r>
    </w:p>
    <w:p w14:paraId="7B29B447" w14:textId="77777777" w:rsidR="000B7381" w:rsidRPr="000B7381" w:rsidRDefault="000B7381" w:rsidP="00F67D1C">
      <w:pPr>
        <w:pStyle w:val="NoSpacing"/>
        <w:rPr>
          <w:rFonts w:ascii="Century Gothic" w:hAnsi="Century Gothic"/>
          <w:b/>
        </w:rPr>
      </w:pPr>
    </w:p>
    <w:p w14:paraId="791D365D" w14:textId="24F58CDD" w:rsidR="00F67D1C" w:rsidRPr="000B7381" w:rsidRDefault="00F67D1C" w:rsidP="00F67D1C">
      <w:pPr>
        <w:pStyle w:val="NoSpacing"/>
        <w:rPr>
          <w:rFonts w:ascii="Century Gothic" w:hAnsi="Century Gothic"/>
          <w:b/>
        </w:rPr>
      </w:pPr>
      <w:r w:rsidRPr="000B7381">
        <w:rPr>
          <w:rFonts w:ascii="Century Gothic" w:hAnsi="Century Gothic"/>
          <w:b/>
        </w:rPr>
        <w:t>The threat posed by co-commissioning</w:t>
      </w:r>
      <w:r w:rsidRPr="000B7381">
        <w:rPr>
          <w:rFonts w:ascii="Century Gothic" w:hAnsi="Century Gothic"/>
          <w:b/>
        </w:rPr>
        <w:br/>
      </w:r>
    </w:p>
    <w:p w14:paraId="70BB740F" w14:textId="173E709F" w:rsidR="00F67D1C" w:rsidRPr="000B7381" w:rsidRDefault="00F67D1C" w:rsidP="00F67D1C">
      <w:pPr>
        <w:pStyle w:val="NoSpacing"/>
        <w:rPr>
          <w:rFonts w:ascii="Century Gothic" w:hAnsi="Century Gothic"/>
        </w:rPr>
      </w:pPr>
      <w:r w:rsidRPr="000B7381">
        <w:rPr>
          <w:rFonts w:ascii="Century Gothic" w:hAnsi="Century Gothic"/>
        </w:rPr>
        <w:t xml:space="preserve">Patient organisations and others representing those with rare and complex conditions have raised significant concerns at proposals published by NHS England in November 2014 on the future funding of specialised services.  </w:t>
      </w:r>
    </w:p>
    <w:p w14:paraId="62606167" w14:textId="517350B6" w:rsidR="00F67D1C" w:rsidRDefault="000B7381" w:rsidP="00F67D1C">
      <w:pPr>
        <w:pStyle w:val="NoSpacing"/>
        <w:rPr>
          <w:rFonts w:ascii="Century Gothic" w:hAnsi="Century Gothic"/>
        </w:rPr>
      </w:pPr>
      <w:r w:rsidRPr="000B7381">
        <w:rPr>
          <w:rFonts w:ascii="Century Gothic" w:eastAsiaTheme="minorHAnsi" w:hAnsi="Century Gothic" w:cs="CenturyGothic-Bold"/>
          <w:b/>
          <w:bCs/>
          <w:noProof/>
          <w:lang w:val="en-US"/>
        </w:rPr>
        <mc:AlternateContent>
          <mc:Choice Requires="wps">
            <w:drawing>
              <wp:anchor distT="0" distB="0" distL="114300" distR="114300" simplePos="0" relativeHeight="251663360" behindDoc="1" locked="0" layoutInCell="1" allowOverlap="1" wp14:anchorId="7F7796FE" wp14:editId="637A2D22">
                <wp:simplePos x="0" y="0"/>
                <wp:positionH relativeFrom="margin">
                  <wp:posOffset>-104775</wp:posOffset>
                </wp:positionH>
                <wp:positionV relativeFrom="paragraph">
                  <wp:posOffset>200025</wp:posOffset>
                </wp:positionV>
                <wp:extent cx="5915025" cy="1476375"/>
                <wp:effectExtent l="0" t="0" r="28575" b="28575"/>
                <wp:wrapTight wrapText="bothSides">
                  <wp:wrapPolygon edited="0">
                    <wp:start x="0" y="0"/>
                    <wp:lineTo x="0" y="21739"/>
                    <wp:lineTo x="21635" y="21739"/>
                    <wp:lineTo x="21635" y="0"/>
                    <wp:lineTo x="0" y="0"/>
                  </wp:wrapPolygon>
                </wp:wrapTight>
                <wp:docPr id="3" name="Rectangle 3"/>
                <wp:cNvGraphicFramePr/>
                <a:graphic xmlns:a="http://schemas.openxmlformats.org/drawingml/2006/main">
                  <a:graphicData uri="http://schemas.microsoft.com/office/word/2010/wordprocessingShape">
                    <wps:wsp>
                      <wps:cNvSpPr/>
                      <wps:spPr>
                        <a:xfrm>
                          <a:off x="0" y="0"/>
                          <a:ext cx="591502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AE0DC" w14:textId="7BC6CACD" w:rsidR="000B7381" w:rsidRDefault="000B7381" w:rsidP="000B7381">
                            <w:pPr>
                              <w:pStyle w:val="ListParagraph"/>
                              <w:numPr>
                                <w:ilvl w:val="0"/>
                                <w:numId w:val="2"/>
                              </w:numPr>
                            </w:pPr>
                            <w:r>
                              <w:t>An unpublished NHS England report from March 2014 describes the benefits of the current system of national specialised commissioning:</w:t>
                            </w:r>
                          </w:p>
                          <w:p w14:paraId="0B920497" w14:textId="77777777" w:rsidR="000B7381" w:rsidRDefault="000B7381" w:rsidP="000B7381">
                            <w:pPr>
                              <w:pStyle w:val="ListParagraph"/>
                            </w:pPr>
                          </w:p>
                          <w:p w14:paraId="15FC64C0" w14:textId="54D78DE9" w:rsidR="000B7381" w:rsidRPr="000B7381" w:rsidRDefault="000B7381" w:rsidP="000B7381">
                            <w:pPr>
                              <w:pStyle w:val="ListParagraph"/>
                              <w:rPr>
                                <w:i/>
                              </w:rPr>
                            </w:pPr>
                            <w:r w:rsidRPr="000B7381">
                              <w:rPr>
                                <w:i/>
                              </w:rPr>
                              <w:t>“The development of this set of new national specifications and</w:t>
                            </w:r>
                          </w:p>
                          <w:p w14:paraId="0EB1D984" w14:textId="77777777" w:rsidR="000B7381" w:rsidRPr="000B7381" w:rsidRDefault="000B7381" w:rsidP="000B7381">
                            <w:pPr>
                              <w:pStyle w:val="ListParagraph"/>
                              <w:rPr>
                                <w:i/>
                              </w:rPr>
                            </w:pPr>
                            <w:proofErr w:type="gramStart"/>
                            <w:r w:rsidRPr="000B7381">
                              <w:rPr>
                                <w:i/>
                              </w:rPr>
                              <w:t>policies</w:t>
                            </w:r>
                            <w:proofErr w:type="gramEnd"/>
                            <w:r w:rsidRPr="000B7381">
                              <w:rPr>
                                <w:i/>
                              </w:rPr>
                              <w:t>, for our services, is a significant achievement given that there</w:t>
                            </w:r>
                          </w:p>
                          <w:p w14:paraId="57F26688" w14:textId="77777777" w:rsidR="000B7381" w:rsidRPr="000B7381" w:rsidRDefault="000B7381" w:rsidP="000B7381">
                            <w:pPr>
                              <w:pStyle w:val="ListParagraph"/>
                              <w:rPr>
                                <w:i/>
                              </w:rPr>
                            </w:pPr>
                            <w:proofErr w:type="gramStart"/>
                            <w:r w:rsidRPr="000B7381">
                              <w:rPr>
                                <w:i/>
                              </w:rPr>
                              <w:t>was</w:t>
                            </w:r>
                            <w:proofErr w:type="gramEnd"/>
                            <w:r w:rsidRPr="000B7381">
                              <w:rPr>
                                <w:i/>
                              </w:rPr>
                              <w:t xml:space="preserve"> limited national consistency prior to the establishment of NHS</w:t>
                            </w:r>
                          </w:p>
                          <w:p w14:paraId="145F1249" w14:textId="239C685C" w:rsidR="000B7381" w:rsidRPr="000B7381" w:rsidRDefault="000B7381" w:rsidP="000B7381">
                            <w:pPr>
                              <w:pStyle w:val="ListParagraph"/>
                              <w:rPr>
                                <w:i/>
                              </w:rPr>
                            </w:pPr>
                            <w:r w:rsidRPr="000B7381">
                              <w:rPr>
                                <w:i/>
                              </w:rPr>
                              <w:t>England.”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7796FE" id="Rectangle 3" o:spid="_x0000_s1027" style="position:absolute;margin-left:-8.25pt;margin-top:15.75pt;width:465.75pt;height:116.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" fillcolor="#5b9bd5 [3204]" strokecolor="#1f4d78 [1604]" strokeweight="1pt">
                <v:textbox>
                  <w:txbxContent>
                    <w:p w14:paraId="06FAE0DC" w14:textId="7BC6CACD" w:rsidR="000B7381" w:rsidRDefault="000B7381" w:rsidP="000B7381">
                      <w:pPr>
                        <w:pStyle w:val="ListParagraph"/>
                        <w:numPr>
                          <w:ilvl w:val="0"/>
                          <w:numId w:val="2"/>
                        </w:numPr>
                      </w:pPr>
                      <w:r>
                        <w:t>An unpublished NHS England report from March 2014 describes the benefits of the current system of national specialised commissioning:</w:t>
                      </w:r>
                    </w:p>
                    <w:p w14:paraId="0B920497" w14:textId="77777777" w:rsidR="000B7381" w:rsidRDefault="000B7381" w:rsidP="000B7381">
                      <w:pPr>
                        <w:pStyle w:val="ListParagraph"/>
                      </w:pPr>
                    </w:p>
                    <w:p w14:paraId="15FC64C0" w14:textId="54D78DE9" w:rsidR="000B7381" w:rsidRPr="000B7381" w:rsidRDefault="000B7381" w:rsidP="000B7381">
                      <w:pPr>
                        <w:pStyle w:val="ListParagraph"/>
                        <w:rPr>
                          <w:i/>
                        </w:rPr>
                      </w:pPr>
                      <w:r w:rsidRPr="000B7381">
                        <w:rPr>
                          <w:i/>
                        </w:rPr>
                        <w:t>“T</w:t>
                      </w:r>
                      <w:r w:rsidRPr="000B7381">
                        <w:rPr>
                          <w:i/>
                        </w:rPr>
                        <w:t>he development of this set of new national specifications and</w:t>
                      </w:r>
                    </w:p>
                    <w:p w14:paraId="0EB1D984" w14:textId="77777777" w:rsidR="000B7381" w:rsidRPr="000B7381" w:rsidRDefault="000B7381" w:rsidP="000B7381">
                      <w:pPr>
                        <w:pStyle w:val="ListParagraph"/>
                        <w:rPr>
                          <w:i/>
                        </w:rPr>
                      </w:pPr>
                      <w:proofErr w:type="gramStart"/>
                      <w:r w:rsidRPr="000B7381">
                        <w:rPr>
                          <w:i/>
                        </w:rPr>
                        <w:t>policies</w:t>
                      </w:r>
                      <w:proofErr w:type="gramEnd"/>
                      <w:r w:rsidRPr="000B7381">
                        <w:rPr>
                          <w:i/>
                        </w:rPr>
                        <w:t>, for our services, is a significant achievement given that there</w:t>
                      </w:r>
                    </w:p>
                    <w:p w14:paraId="57F26688" w14:textId="77777777" w:rsidR="000B7381" w:rsidRPr="000B7381" w:rsidRDefault="000B7381" w:rsidP="000B7381">
                      <w:pPr>
                        <w:pStyle w:val="ListParagraph"/>
                        <w:rPr>
                          <w:i/>
                        </w:rPr>
                      </w:pPr>
                      <w:proofErr w:type="gramStart"/>
                      <w:r w:rsidRPr="000B7381">
                        <w:rPr>
                          <w:i/>
                        </w:rPr>
                        <w:t>was</w:t>
                      </w:r>
                      <w:proofErr w:type="gramEnd"/>
                      <w:r w:rsidRPr="000B7381">
                        <w:rPr>
                          <w:i/>
                        </w:rPr>
                        <w:t xml:space="preserve"> limited national consistency prior to the establishment of NHS</w:t>
                      </w:r>
                    </w:p>
                    <w:p w14:paraId="145F1249" w14:textId="239C685C" w:rsidR="000B7381" w:rsidRPr="000B7381" w:rsidRDefault="000B7381" w:rsidP="000B7381">
                      <w:pPr>
                        <w:pStyle w:val="ListParagraph"/>
                        <w:rPr>
                          <w:i/>
                        </w:rPr>
                      </w:pPr>
                      <w:r w:rsidRPr="000B7381">
                        <w:rPr>
                          <w:i/>
                        </w:rPr>
                        <w:t>England.</w:t>
                      </w:r>
                      <w:r w:rsidRPr="000B7381">
                        <w:rPr>
                          <w:i/>
                        </w:rPr>
                        <w:t>”</w:t>
                      </w:r>
                    </w:p>
                  </w:txbxContent>
                </v:textbox>
                <w10:wrap type="tight" anchorx="margin"/>
              </v:rect>
            </w:pict>
          </mc:Fallback>
        </mc:AlternateContent>
      </w:r>
    </w:p>
    <w:p w14:paraId="4CB964B0" w14:textId="13787F72" w:rsidR="000B7381" w:rsidRDefault="000B7381" w:rsidP="00F67D1C">
      <w:pPr>
        <w:pStyle w:val="NoSpacing"/>
        <w:rPr>
          <w:rFonts w:ascii="Century Gothic" w:hAnsi="Century Gothic"/>
        </w:rPr>
      </w:pPr>
    </w:p>
    <w:p w14:paraId="542C7A25" w14:textId="5587C95A" w:rsidR="000B7381" w:rsidRPr="000B7381" w:rsidRDefault="000B7381" w:rsidP="00F67D1C">
      <w:pPr>
        <w:pStyle w:val="NoSpacing"/>
        <w:rPr>
          <w:rFonts w:ascii="Century Gothic" w:hAnsi="Century Gothic"/>
        </w:rPr>
      </w:pPr>
      <w:r>
        <w:rPr>
          <w:rFonts w:ascii="Century Gothic" w:hAnsi="Century Gothic"/>
        </w:rPr>
        <w:t>Despite this – NHS England is pressing ahead with plans to introduce co-commissioning of specialised services with local CCGs.</w:t>
      </w:r>
      <w:r>
        <w:rPr>
          <w:rFonts w:ascii="Century Gothic" w:hAnsi="Century Gothic"/>
        </w:rPr>
        <w:br/>
      </w:r>
    </w:p>
    <w:p w14:paraId="6FA342EC" w14:textId="0EB17919" w:rsidR="000B7381" w:rsidRDefault="000B7381" w:rsidP="000B7381">
      <w:pPr>
        <w:rPr>
          <w:rStyle w:val="Strong"/>
          <w:rFonts w:ascii="Century Gothic" w:hAnsi="Century Gothic"/>
          <w:b w:val="0"/>
        </w:rPr>
      </w:pPr>
      <w:r>
        <w:rPr>
          <w:rStyle w:val="Strong"/>
          <w:rFonts w:ascii="Century Gothic" w:hAnsi="Century Gothic"/>
          <w:b w:val="0"/>
        </w:rPr>
        <w:t xml:space="preserve">While </w:t>
      </w:r>
      <w:r w:rsidRPr="000B7381">
        <w:rPr>
          <w:rStyle w:val="Strong"/>
          <w:rFonts w:ascii="Century Gothic" w:hAnsi="Century Gothic"/>
          <w:b w:val="0"/>
        </w:rPr>
        <w:t>NHS England remains resistant to publishing full details of its proposals for co-commissioning</w:t>
      </w:r>
      <w:r>
        <w:rPr>
          <w:rStyle w:val="Strong"/>
          <w:rFonts w:ascii="Century Gothic" w:hAnsi="Century Gothic"/>
          <w:b w:val="0"/>
        </w:rPr>
        <w:t xml:space="preserve">, </w:t>
      </w:r>
      <w:r w:rsidRPr="000B7381">
        <w:rPr>
          <w:rStyle w:val="Strong"/>
          <w:rFonts w:ascii="Century Gothic" w:hAnsi="Century Gothic"/>
          <w:b w:val="0"/>
        </w:rPr>
        <w:t>in recent weeks a number of key pieces of information have emerged which give a clear direction of travel.</w:t>
      </w:r>
    </w:p>
    <w:p w14:paraId="3971EC25" w14:textId="4503435F" w:rsidR="007B16F6" w:rsidRPr="007B16F6" w:rsidRDefault="000B7381" w:rsidP="007B16F6">
      <w:pPr>
        <w:rPr>
          <w:rStyle w:val="Strong"/>
          <w:bCs w:val="0"/>
        </w:rPr>
      </w:pPr>
      <w:r w:rsidRPr="000B7381">
        <w:rPr>
          <w:rFonts w:eastAsiaTheme="minorHAnsi" w:cs="CenturyGothic-Bold"/>
          <w:noProof/>
          <w:lang w:val="en-US"/>
        </w:rPr>
        <mc:AlternateContent>
          <mc:Choice Requires="wps">
            <w:drawing>
              <wp:anchor distT="0" distB="0" distL="114300" distR="114300" simplePos="0" relativeHeight="251661312" behindDoc="1" locked="0" layoutInCell="1" allowOverlap="1" wp14:anchorId="2CB94267" wp14:editId="595D3D23">
                <wp:simplePos x="0" y="0"/>
                <wp:positionH relativeFrom="margin">
                  <wp:posOffset>3267075</wp:posOffset>
                </wp:positionH>
                <wp:positionV relativeFrom="paragraph">
                  <wp:posOffset>1218565</wp:posOffset>
                </wp:positionV>
                <wp:extent cx="2628900" cy="27622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628900" cy="276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15803" w14:textId="213CC92D" w:rsidR="000B7381" w:rsidRPr="000B7381" w:rsidRDefault="000B7381" w:rsidP="000B7381">
                            <w:pPr>
                              <w:rPr>
                                <w:rFonts w:ascii="Century Gothic" w:hAnsi="Century Gothic"/>
                              </w:rPr>
                            </w:pPr>
                            <w:r w:rsidRPr="000B7381">
                              <w:rPr>
                                <w:rFonts w:ascii="Century Gothic" w:hAnsi="Century Gothic"/>
                              </w:rPr>
                              <w:t xml:space="preserve">IVF provides a salutary warning of the risks of returning to local influence in commissioning specialised services.  Currently 80% of CCGs provide less than the three cycles of IVF recommended by NICE guidance.  </w:t>
                            </w:r>
                            <w:r w:rsidRPr="000B7381">
                              <w:rPr>
                                <w:rFonts w:ascii="Century Gothic" w:hAnsi="Century Gothic"/>
                              </w:rPr>
                              <w:br/>
                            </w:r>
                            <w:r w:rsidRPr="000B7381">
                              <w:rPr>
                                <w:rFonts w:ascii="Century Gothic" w:hAnsi="Century Gothic"/>
                              </w:rPr>
                              <w:br/>
                              <w:t xml:space="preserve">One GP member of a CCG said: </w:t>
                            </w:r>
                            <w:r w:rsidRPr="000B7381">
                              <w:rPr>
                                <w:rFonts w:ascii="Century Gothic" w:hAnsi="Century Gothic"/>
                                <w:i/>
                              </w:rPr>
                              <w:t>“It might benefit two of my patients. I couldn't look the other 1,998 in the eye if I voted in favour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B94267" id="Rectangle 2" o:spid="_x0000_s1028" style="position:absolute;margin-left:257.25pt;margin-top:95.95pt;width:207pt;height:2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" fillcolor="#5b9bd5 [3204]" strokecolor="#1f4d78 [1604]" strokeweight="1pt">
                <v:textbox>
                  <w:txbxContent>
                    <w:p w14:paraId="0A815803" w14:textId="213CC92D" w:rsidR="000B7381" w:rsidRPr="000B7381" w:rsidRDefault="000B7381" w:rsidP="000B7381">
                      <w:pPr>
                        <w:rPr>
                          <w:rFonts w:ascii="Century Gothic" w:hAnsi="Century Gothic"/>
                        </w:rPr>
                      </w:pPr>
                      <w:r w:rsidRPr="000B7381">
                        <w:rPr>
                          <w:rFonts w:ascii="Century Gothic" w:hAnsi="Century Gothic"/>
                        </w:rPr>
                        <w:t xml:space="preserve">IVF provides a salutary warning of the risks of returning to local influence in commissioning specialised services.  Currently 80% of CCGs provide less than the three cycles of IVF recommended by NICE guidance.  </w:t>
                      </w:r>
                      <w:r w:rsidRPr="000B7381">
                        <w:rPr>
                          <w:rFonts w:ascii="Century Gothic" w:hAnsi="Century Gothic"/>
                        </w:rPr>
                        <w:br/>
                      </w:r>
                      <w:r w:rsidRPr="000B7381">
                        <w:rPr>
                          <w:rFonts w:ascii="Century Gothic" w:hAnsi="Century Gothic"/>
                        </w:rPr>
                        <w:br/>
                        <w:t xml:space="preserve">One GP member of a CCG said: </w:t>
                      </w:r>
                      <w:r w:rsidRPr="000B7381">
                        <w:rPr>
                          <w:rFonts w:ascii="Century Gothic" w:hAnsi="Century Gothic"/>
                          <w:i/>
                        </w:rPr>
                        <w:t>“</w:t>
                      </w:r>
                      <w:r w:rsidRPr="000B7381">
                        <w:rPr>
                          <w:rFonts w:ascii="Century Gothic" w:hAnsi="Century Gothic"/>
                          <w:i/>
                        </w:rPr>
                        <w:t>It might benefit two of my patients. I couldn't look the other 1,998 in the</w:t>
                      </w:r>
                      <w:r w:rsidRPr="000B7381">
                        <w:rPr>
                          <w:rFonts w:ascii="Century Gothic" w:hAnsi="Century Gothic"/>
                          <w:i/>
                        </w:rPr>
                        <w:t xml:space="preserve"> </w:t>
                      </w:r>
                      <w:r w:rsidRPr="000B7381">
                        <w:rPr>
                          <w:rFonts w:ascii="Century Gothic" w:hAnsi="Century Gothic"/>
                          <w:i/>
                        </w:rPr>
                        <w:t>eye if I voted in favour of it</w:t>
                      </w:r>
                      <w:r w:rsidRPr="000B7381">
                        <w:rPr>
                          <w:rFonts w:ascii="Century Gothic" w:hAnsi="Century Gothic"/>
                          <w:i/>
                        </w:rPr>
                        <w:t>.”</w:t>
                      </w:r>
                    </w:p>
                  </w:txbxContent>
                </v:textbox>
                <w10:wrap type="tight" anchorx="margin"/>
              </v:rect>
            </w:pict>
          </mc:Fallback>
        </mc:AlternateContent>
      </w:r>
      <w:r w:rsidRPr="007B16F6">
        <w:rPr>
          <w:rStyle w:val="Strong"/>
          <w:rFonts w:ascii="Century Gothic" w:hAnsi="Century Gothic"/>
          <w:b w:val="0"/>
        </w:rPr>
        <w:t>NHS England’s</w:t>
      </w:r>
      <w:r w:rsidRPr="000B7381">
        <w:rPr>
          <w:rStyle w:val="Strong"/>
          <w:rFonts w:ascii="Century Gothic" w:hAnsi="Century Gothic"/>
        </w:rPr>
        <w:t xml:space="preserve"> </w:t>
      </w:r>
      <w:r w:rsidRPr="007B16F6">
        <w:rPr>
          <w:rStyle w:val="Strong"/>
          <w:rFonts w:ascii="Century Gothic" w:hAnsi="Century Gothic"/>
          <w:b w:val="0"/>
        </w:rPr>
        <w:t xml:space="preserve">five principles for co-commissioning include a “move towards population accountability and </w:t>
      </w:r>
      <w:r w:rsidRPr="007B16F6">
        <w:rPr>
          <w:rStyle w:val="Strong"/>
          <w:rFonts w:ascii="Century Gothic" w:hAnsi="Century Gothic"/>
        </w:rPr>
        <w:t>lay[</w:t>
      </w:r>
      <w:proofErr w:type="spellStart"/>
      <w:r w:rsidRPr="007B16F6">
        <w:rPr>
          <w:rStyle w:val="Strong"/>
          <w:rFonts w:ascii="Century Gothic" w:hAnsi="Century Gothic"/>
        </w:rPr>
        <w:t>ing</w:t>
      </w:r>
      <w:proofErr w:type="spellEnd"/>
      <w:r w:rsidRPr="007B16F6">
        <w:rPr>
          <w:rStyle w:val="Strong"/>
          <w:rFonts w:ascii="Century Gothic" w:hAnsi="Century Gothic"/>
        </w:rPr>
        <w:t>] the groundwork for ‘place based’ or population budgets</w:t>
      </w:r>
      <w:r w:rsidRPr="007B16F6">
        <w:rPr>
          <w:rStyle w:val="Strong"/>
          <w:rFonts w:ascii="Century Gothic" w:hAnsi="Century Gothic"/>
          <w:b w:val="0"/>
        </w:rPr>
        <w:t xml:space="preserve">”.  This is inconsistent with continued national budget holding for specialised services.  A second principle is to “enable better allocation or investment decisions, giving CCGs and their partners the ability to invest in prevention or more effective services.”  </w:t>
      </w:r>
      <w:r w:rsidRPr="007B16F6">
        <w:rPr>
          <w:b/>
          <w:bCs/>
        </w:rPr>
        <w:br/>
      </w:r>
      <w:r w:rsidRPr="007B16F6">
        <w:rPr>
          <w:b/>
          <w:bCs/>
        </w:rPr>
        <w:br/>
      </w:r>
      <w:r w:rsidRPr="007B16F6">
        <w:rPr>
          <w:rStyle w:val="Strong"/>
          <w:rFonts w:ascii="Century Gothic" w:hAnsi="Century Gothic"/>
          <w:b w:val="0"/>
        </w:rPr>
        <w:t xml:space="preserve">The same Board paper, from November 2014, also pledges NHS England to “devise a model whereby any underspend in a locality’s specialised commissioning budget will result in that funding or a part of it being attributed to the CCG and hence </w:t>
      </w:r>
      <w:r w:rsidRPr="007B16F6">
        <w:rPr>
          <w:rStyle w:val="Strong"/>
          <w:rFonts w:ascii="Century Gothic" w:hAnsi="Century Gothic"/>
        </w:rPr>
        <w:t>available for local investment at the CCG’s discretion</w:t>
      </w:r>
      <w:r w:rsidRPr="007B16F6">
        <w:rPr>
          <w:rStyle w:val="Strong"/>
          <w:rFonts w:ascii="Century Gothic" w:hAnsi="Century Gothic"/>
          <w:b w:val="0"/>
        </w:rPr>
        <w:t>.”</w:t>
      </w:r>
      <w:r w:rsidRPr="007B16F6">
        <w:rPr>
          <w:b/>
          <w:bCs/>
        </w:rPr>
        <w:br/>
      </w:r>
      <w:r w:rsidRPr="007B16F6">
        <w:rPr>
          <w:b/>
          <w:bCs/>
        </w:rPr>
        <w:br/>
      </w:r>
      <w:r w:rsidRPr="007B16F6">
        <w:rPr>
          <w:rStyle w:val="Strong"/>
          <w:rFonts w:ascii="Century Gothic" w:hAnsi="Century Gothic"/>
          <w:b w:val="0"/>
        </w:rPr>
        <w:t xml:space="preserve">In December, notional allocations of the specialised budget were published for each CCG.  Significantly, only £1.08bn of the £14.6bn specialised budget was allocated to national commissioning – or ‘tier one’ services – including the Cancer Drugs Fund.  This confirms that </w:t>
      </w:r>
      <w:r w:rsidRPr="007B16F6">
        <w:rPr>
          <w:rStyle w:val="Strong"/>
          <w:rFonts w:ascii="Century Gothic" w:hAnsi="Century Gothic"/>
        </w:rPr>
        <w:t>the overwhelming majority of specialised services, with the exception of highly specialised services, would fall into co-commissioning</w:t>
      </w:r>
      <w:r w:rsidRPr="007B16F6">
        <w:rPr>
          <w:rStyle w:val="Strong"/>
          <w:rFonts w:ascii="Century Gothic" w:hAnsi="Century Gothic"/>
          <w:b w:val="0"/>
        </w:rPr>
        <w:t>.</w:t>
      </w:r>
      <w:r w:rsidRPr="007B16F6">
        <w:rPr>
          <w:b/>
          <w:bCs/>
        </w:rPr>
        <w:br/>
      </w:r>
      <w:r w:rsidRPr="007B16F6">
        <w:rPr>
          <w:b/>
          <w:bCs/>
        </w:rPr>
        <w:br/>
      </w:r>
      <w:r w:rsidRPr="007B16F6">
        <w:rPr>
          <w:rStyle w:val="Strong"/>
          <w:rFonts w:ascii="Century Gothic" w:hAnsi="Century Gothic"/>
          <w:b w:val="0"/>
        </w:rPr>
        <w:lastRenderedPageBreak/>
        <w:t>While NHS England must retain budget and formal responsibility for specialised</w:t>
      </w:r>
      <w:r w:rsidRPr="000B7381">
        <w:rPr>
          <w:rStyle w:val="Strong"/>
          <w:rFonts w:ascii="Century Gothic" w:hAnsi="Century Gothic"/>
        </w:rPr>
        <w:t xml:space="preserve"> </w:t>
      </w:r>
      <w:r w:rsidRPr="007B16F6">
        <w:rPr>
          <w:rStyle w:val="Strong"/>
          <w:rFonts w:ascii="Century Gothic" w:hAnsi="Century Gothic"/>
          <w:b w:val="0"/>
        </w:rPr>
        <w:t>commissioning in 2015/16, the direction of travel towards local population budget holding</w:t>
      </w:r>
      <w:r w:rsidR="007B16F6">
        <w:rPr>
          <w:rStyle w:val="Strong"/>
          <w:rFonts w:ascii="Century Gothic" w:hAnsi="Century Gothic"/>
          <w:b w:val="0"/>
        </w:rPr>
        <w:t xml:space="preserve"> in future</w:t>
      </w:r>
      <w:r w:rsidRPr="007B16F6">
        <w:rPr>
          <w:rStyle w:val="Strong"/>
          <w:rFonts w:ascii="Century Gothic" w:hAnsi="Century Gothic"/>
          <w:b w:val="0"/>
        </w:rPr>
        <w:t xml:space="preserve"> is clear.</w:t>
      </w:r>
      <w:r w:rsidR="007B16F6" w:rsidRPr="007B16F6">
        <w:rPr>
          <w:rStyle w:val="Strong"/>
          <w:b w:val="0"/>
        </w:rPr>
        <w:br/>
      </w:r>
    </w:p>
    <w:p w14:paraId="62D294DC" w14:textId="2A190DC1" w:rsidR="007B16F6" w:rsidRPr="007B16F6" w:rsidRDefault="000B7381" w:rsidP="007B16F6">
      <w:pPr>
        <w:rPr>
          <w:rFonts w:ascii="Century Gothic" w:hAnsi="Century Gothic"/>
        </w:rPr>
      </w:pPr>
      <w:r w:rsidRPr="007B16F6">
        <w:rPr>
          <w:rStyle w:val="Strong"/>
          <w:rFonts w:ascii="Century Gothic" w:hAnsi="Century Gothic"/>
        </w:rPr>
        <w:t>Patient groups’ views</w:t>
      </w:r>
      <w:r w:rsidRPr="007B16F6">
        <w:rPr>
          <w:rStyle w:val="Strong"/>
          <w:rFonts w:ascii="Century Gothic" w:hAnsi="Century Gothic"/>
        </w:rPr>
        <w:br/>
      </w:r>
      <w:r w:rsidRPr="007B16F6">
        <w:rPr>
          <w:rStyle w:val="Strong"/>
          <w:rFonts w:ascii="Century Gothic" w:hAnsi="Century Gothic"/>
        </w:rPr>
        <w:br/>
      </w:r>
      <w:r w:rsidR="007B16F6" w:rsidRPr="007B16F6">
        <w:rPr>
          <w:rFonts w:ascii="Century Gothic" w:hAnsi="Century Gothic"/>
        </w:rPr>
        <w:t>The Specialised Healthcare Alliance conducted a survey of patient organisations, expert clinicians and industry in late 2014.</w:t>
      </w:r>
      <w:r w:rsidR="007B16F6" w:rsidRPr="007B16F6">
        <w:rPr>
          <w:rFonts w:ascii="Century Gothic" w:hAnsi="Century Gothic"/>
        </w:rPr>
        <w:br/>
      </w:r>
      <w:r w:rsidR="007B16F6" w:rsidRPr="007B16F6">
        <w:rPr>
          <w:rFonts w:ascii="Century Gothic" w:hAnsi="Century Gothic"/>
        </w:rPr>
        <w:br/>
        <w:t>The results showed that, with over 100 responses:</w:t>
      </w:r>
      <w:r w:rsidR="007B16F6" w:rsidRPr="007B16F6">
        <w:rPr>
          <w:rFonts w:ascii="Century Gothic" w:hAnsi="Century Gothic"/>
        </w:rPr>
        <w:br/>
      </w:r>
    </w:p>
    <w:p w14:paraId="1CD1EBB8" w14:textId="43A5A7E5" w:rsidR="007B16F6" w:rsidRPr="007B16F6" w:rsidRDefault="007B16F6" w:rsidP="007B16F6">
      <w:pPr>
        <w:pStyle w:val="ListParagraph"/>
        <w:numPr>
          <w:ilvl w:val="0"/>
          <w:numId w:val="5"/>
        </w:numPr>
        <w:rPr>
          <w:b/>
        </w:rPr>
      </w:pPr>
      <w:r w:rsidRPr="00787731">
        <w:t>90% of respondents preferred their service to remain part of specialised commissioning</w:t>
      </w:r>
      <w:r>
        <w:t xml:space="preserve"> – none favoured leaving specialised commissioning.</w:t>
      </w:r>
    </w:p>
    <w:p w14:paraId="3C4CB44E" w14:textId="77777777" w:rsidR="007B16F6" w:rsidRPr="00787731" w:rsidRDefault="007B16F6" w:rsidP="007B16F6">
      <w:pPr>
        <w:pStyle w:val="ListParagraph"/>
        <w:numPr>
          <w:ilvl w:val="0"/>
          <w:numId w:val="5"/>
        </w:numPr>
        <w:spacing w:before="240"/>
        <w:ind w:left="714" w:hanging="357"/>
        <w:contextualSpacing w:val="0"/>
        <w:rPr>
          <w:b/>
        </w:rPr>
      </w:pPr>
      <w:r w:rsidRPr="00787731">
        <w:t>82% of respondents favoured either no change to commissioning responsibilities for their service or for more of their service to be incorporated within specialised commissioning.  9% opted for more commissioning responsibilities to fall to CCGs.</w:t>
      </w:r>
    </w:p>
    <w:p w14:paraId="65ADF298" w14:textId="77777777" w:rsidR="007B16F6" w:rsidRPr="00787731" w:rsidRDefault="007B16F6" w:rsidP="007B16F6">
      <w:pPr>
        <w:pStyle w:val="ListParagraph"/>
        <w:numPr>
          <w:ilvl w:val="0"/>
          <w:numId w:val="5"/>
        </w:numPr>
        <w:spacing w:before="240"/>
        <w:ind w:left="714" w:hanging="357"/>
        <w:contextualSpacing w:val="0"/>
        <w:rPr>
          <w:b/>
        </w:rPr>
      </w:pPr>
      <w:r w:rsidRPr="00787731">
        <w:t>On the subject of co-commissioning, while respondents were open to collaboration between NHS England and local commissioners, only 15% of respondents would be happy to see this include pooling of budgets.</w:t>
      </w:r>
    </w:p>
    <w:p w14:paraId="1F99C4F0" w14:textId="693056C9" w:rsidR="00F67D1C" w:rsidRPr="007B16F6" w:rsidRDefault="000B7381" w:rsidP="00F67D1C">
      <w:pPr>
        <w:rPr>
          <w:rFonts w:ascii="Century Gothic" w:hAnsi="Century Gothic"/>
          <w:b/>
        </w:rPr>
      </w:pPr>
      <w:r w:rsidRPr="000B7381">
        <w:rPr>
          <w:rFonts w:ascii="Century Gothic" w:hAnsi="Century Gothic"/>
        </w:rPr>
        <w:br/>
      </w:r>
      <w:r w:rsidR="007B16F6">
        <w:rPr>
          <w:rFonts w:ascii="Century Gothic" w:hAnsi="Century Gothic"/>
          <w:b/>
          <w:bCs/>
        </w:rPr>
        <w:t>Changes to the National Tariff for specialised services</w:t>
      </w:r>
      <w:r w:rsidR="007B16F6">
        <w:rPr>
          <w:rFonts w:ascii="Century Gothic" w:hAnsi="Century Gothic"/>
          <w:b/>
          <w:bCs/>
        </w:rPr>
        <w:br/>
      </w:r>
      <w:r w:rsidR="007B16F6">
        <w:rPr>
          <w:rFonts w:ascii="Century Gothic" w:hAnsi="Century Gothic"/>
          <w:b/>
          <w:bCs/>
        </w:rPr>
        <w:br/>
      </w:r>
      <w:r w:rsidR="007B16F6">
        <w:rPr>
          <w:rFonts w:ascii="Century Gothic" w:hAnsi="Century Gothic"/>
        </w:rPr>
        <w:t>Members of the Specialised Healthcare Alliance are</w:t>
      </w:r>
      <w:r w:rsidR="00F67D1C" w:rsidRPr="000B7381">
        <w:rPr>
          <w:rFonts w:ascii="Century Gothic" w:hAnsi="Century Gothic"/>
        </w:rPr>
        <w:t xml:space="preserve"> alarmed by NHS England and Monitor’s proposals to introduce marginal rates of 50% for specialised services above the stated baseline.  </w:t>
      </w:r>
      <w:r w:rsidR="007B16F6">
        <w:rPr>
          <w:rFonts w:ascii="Century Gothic" w:hAnsi="Century Gothic"/>
        </w:rPr>
        <w:br/>
      </w:r>
      <w:r w:rsidR="007B16F6">
        <w:rPr>
          <w:rFonts w:ascii="Century Gothic" w:hAnsi="Century Gothic"/>
        </w:rPr>
        <w:br/>
        <w:t>The concern is</w:t>
      </w:r>
      <w:r w:rsidR="00F67D1C" w:rsidRPr="000B7381">
        <w:rPr>
          <w:rFonts w:ascii="Century Gothic" w:hAnsi="Century Gothic"/>
        </w:rPr>
        <w:t xml:space="preserve"> that this will effectively ration access to treatment, especially for the most complex and prospectively expensive patients, where the cost of externally purchased devices and drugs may account for a substantial proportion of total treatment costs and will also be affected.  </w:t>
      </w:r>
      <w:r w:rsidR="007B16F6">
        <w:rPr>
          <w:rFonts w:ascii="Century Gothic" w:hAnsi="Century Gothic"/>
        </w:rPr>
        <w:br/>
      </w:r>
      <w:r w:rsidR="007B16F6">
        <w:rPr>
          <w:rFonts w:ascii="Century Gothic" w:hAnsi="Century Gothic"/>
        </w:rPr>
        <w:br/>
      </w:r>
      <w:r w:rsidR="00F67D1C" w:rsidRPr="000B7381">
        <w:rPr>
          <w:rFonts w:ascii="Century Gothic" w:hAnsi="Century Gothic"/>
        </w:rPr>
        <w:t>This effect seems likely to be exacerbated by the matching payment for patients below the stated baseline.  In particular, the opportunity to make savings from underspending might prompt providers to shift spend towards less expensive patients, leading to disinvestment in more costly procedures and the rationing of some services.  Conversely, CCGs are being promised the proceeds of reduced spending, which may introduce perverse and detrimental incentives around referral.</w:t>
      </w:r>
      <w:r w:rsidR="007B16F6">
        <w:rPr>
          <w:rFonts w:ascii="Century Gothic" w:hAnsi="Century Gothic"/>
        </w:rPr>
        <w:br/>
      </w:r>
      <w:r w:rsidR="007B16F6">
        <w:rPr>
          <w:rFonts w:ascii="Century Gothic" w:hAnsi="Century Gothic"/>
        </w:rPr>
        <w:br/>
      </w:r>
      <w:r w:rsidR="00F67D1C" w:rsidRPr="000B7381">
        <w:rPr>
          <w:rFonts w:ascii="Century Gothic" w:hAnsi="Century Gothic"/>
        </w:rPr>
        <w:t xml:space="preserve">In considering whether or not to implement the proposals, the pursuit of quality and safety should be paramount.  In particular, paying trusts for doing nothing seems to contradict the Five Year Forward View’s commitment to increase patient volumes with providers where the relationship with quality is strong.  Indeed, it seems perverse </w:t>
      </w:r>
      <w:r w:rsidR="00F67D1C" w:rsidRPr="000B7381">
        <w:rPr>
          <w:rFonts w:ascii="Century Gothic" w:hAnsi="Century Gothic"/>
        </w:rPr>
        <w:lastRenderedPageBreak/>
        <w:t xml:space="preserve">to penalise providers who deliver the best outcomes for patients and who require financial certainty to underpin their investments for the longer term.  </w:t>
      </w:r>
      <w:r w:rsidR="007B16F6">
        <w:rPr>
          <w:rFonts w:ascii="Century Gothic" w:hAnsi="Century Gothic"/>
        </w:rPr>
        <w:br/>
      </w:r>
      <w:r w:rsidR="007B16F6">
        <w:rPr>
          <w:rFonts w:ascii="Century Gothic" w:hAnsi="Century Gothic"/>
        </w:rPr>
        <w:br/>
      </w:r>
      <w:r w:rsidR="007B16F6">
        <w:rPr>
          <w:rFonts w:ascii="Century Gothic" w:hAnsi="Century Gothic"/>
          <w:b/>
        </w:rPr>
        <w:t xml:space="preserve">Further information is available on request to </w:t>
      </w:r>
      <w:hyperlink r:id="rId11" w:history="1">
        <w:r w:rsidR="007B16F6" w:rsidRPr="00D27EC7">
          <w:rPr>
            <w:rStyle w:val="Hyperlink"/>
            <w:rFonts w:ascii="Century Gothic" w:hAnsi="Century Gothic"/>
            <w:b/>
          </w:rPr>
          <w:t>team@shca.info</w:t>
        </w:r>
      </w:hyperlink>
      <w:r w:rsidR="007B16F6">
        <w:rPr>
          <w:rFonts w:ascii="Century Gothic" w:hAnsi="Century Gothic"/>
          <w:b/>
        </w:rPr>
        <w:t xml:space="preserve"> or by calling 0203 1787 573.</w:t>
      </w:r>
    </w:p>
    <w:sectPr w:rsidR="00F67D1C" w:rsidRPr="007B16F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D6505" w14:textId="77777777" w:rsidR="007B16F6" w:rsidRDefault="007B16F6" w:rsidP="007B16F6">
      <w:pPr>
        <w:spacing w:after="0" w:line="240" w:lineRule="auto"/>
      </w:pPr>
      <w:r>
        <w:separator/>
      </w:r>
    </w:p>
  </w:endnote>
  <w:endnote w:type="continuationSeparator" w:id="0">
    <w:p w14:paraId="3C34A55D" w14:textId="77777777" w:rsidR="007B16F6" w:rsidRDefault="007B16F6" w:rsidP="007B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2FD2" w14:textId="77777777" w:rsidR="007B16F6" w:rsidRDefault="007B16F6" w:rsidP="007B16F6">
      <w:pPr>
        <w:spacing w:after="0" w:line="240" w:lineRule="auto"/>
      </w:pPr>
      <w:r>
        <w:separator/>
      </w:r>
    </w:p>
  </w:footnote>
  <w:footnote w:type="continuationSeparator" w:id="0">
    <w:p w14:paraId="0E5AF432" w14:textId="77777777" w:rsidR="007B16F6" w:rsidRDefault="007B16F6" w:rsidP="007B16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F904" w14:textId="696503AF" w:rsidR="007B16F6" w:rsidRDefault="007B16F6">
    <w:pPr>
      <w:pStyle w:val="Header"/>
    </w:pPr>
    <w:r>
      <w:rPr>
        <w:noProof/>
        <w:lang w:val="en-US"/>
      </w:rPr>
      <w:drawing>
        <wp:inline distT="0" distB="0" distL="0" distR="0" wp14:anchorId="634B341D" wp14:editId="6CAF4947">
          <wp:extent cx="3994993" cy="3524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CA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7821" cy="3526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9CD"/>
    <w:multiLevelType w:val="hybridMultilevel"/>
    <w:tmpl w:val="1104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27642"/>
    <w:multiLevelType w:val="hybridMultilevel"/>
    <w:tmpl w:val="8A4C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429FB"/>
    <w:multiLevelType w:val="hybridMultilevel"/>
    <w:tmpl w:val="8DAA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353F7"/>
    <w:multiLevelType w:val="hybridMultilevel"/>
    <w:tmpl w:val="22545A74"/>
    <w:lvl w:ilvl="0" w:tplc="23DE73A0">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71CCE"/>
    <w:multiLevelType w:val="hybridMultilevel"/>
    <w:tmpl w:val="69D6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1C"/>
    <w:rsid w:val="00000825"/>
    <w:rsid w:val="00002D87"/>
    <w:rsid w:val="000041DD"/>
    <w:rsid w:val="00006BDA"/>
    <w:rsid w:val="00013B3F"/>
    <w:rsid w:val="0002149F"/>
    <w:rsid w:val="00022072"/>
    <w:rsid w:val="00023805"/>
    <w:rsid w:val="0002722A"/>
    <w:rsid w:val="000344DC"/>
    <w:rsid w:val="000357D2"/>
    <w:rsid w:val="00035C5B"/>
    <w:rsid w:val="000415A8"/>
    <w:rsid w:val="00044B19"/>
    <w:rsid w:val="00045B1E"/>
    <w:rsid w:val="00055F79"/>
    <w:rsid w:val="00070DE3"/>
    <w:rsid w:val="0008178F"/>
    <w:rsid w:val="00081ABC"/>
    <w:rsid w:val="0008472F"/>
    <w:rsid w:val="000A1643"/>
    <w:rsid w:val="000A3DE7"/>
    <w:rsid w:val="000B7381"/>
    <w:rsid w:val="000C419A"/>
    <w:rsid w:val="000C7E89"/>
    <w:rsid w:val="000D4C3F"/>
    <w:rsid w:val="000E5F10"/>
    <w:rsid w:val="000F0EDD"/>
    <w:rsid w:val="00104B36"/>
    <w:rsid w:val="00105AF8"/>
    <w:rsid w:val="00107290"/>
    <w:rsid w:val="001122DF"/>
    <w:rsid w:val="00120257"/>
    <w:rsid w:val="001234A2"/>
    <w:rsid w:val="00135F84"/>
    <w:rsid w:val="00146C3E"/>
    <w:rsid w:val="00153A27"/>
    <w:rsid w:val="00186377"/>
    <w:rsid w:val="00186C26"/>
    <w:rsid w:val="00187571"/>
    <w:rsid w:val="00190D96"/>
    <w:rsid w:val="001A4C88"/>
    <w:rsid w:val="001A520A"/>
    <w:rsid w:val="001B0D29"/>
    <w:rsid w:val="001B1ED5"/>
    <w:rsid w:val="001C0222"/>
    <w:rsid w:val="001C11AA"/>
    <w:rsid w:val="001C2ED6"/>
    <w:rsid w:val="001C64A4"/>
    <w:rsid w:val="001C7605"/>
    <w:rsid w:val="001D60D7"/>
    <w:rsid w:val="001E6D7A"/>
    <w:rsid w:val="001F46D1"/>
    <w:rsid w:val="001F5D30"/>
    <w:rsid w:val="001F6995"/>
    <w:rsid w:val="0020392E"/>
    <w:rsid w:val="002107E4"/>
    <w:rsid w:val="00222147"/>
    <w:rsid w:val="00227FDF"/>
    <w:rsid w:val="00231BE0"/>
    <w:rsid w:val="0023366A"/>
    <w:rsid w:val="00246F45"/>
    <w:rsid w:val="00256200"/>
    <w:rsid w:val="002574DA"/>
    <w:rsid w:val="00260852"/>
    <w:rsid w:val="00265B77"/>
    <w:rsid w:val="00266C3C"/>
    <w:rsid w:val="00267493"/>
    <w:rsid w:val="00272D29"/>
    <w:rsid w:val="00272D87"/>
    <w:rsid w:val="0027323B"/>
    <w:rsid w:val="00275FAA"/>
    <w:rsid w:val="0028388E"/>
    <w:rsid w:val="00284403"/>
    <w:rsid w:val="00295872"/>
    <w:rsid w:val="002A0CC6"/>
    <w:rsid w:val="002A30B5"/>
    <w:rsid w:val="002A3620"/>
    <w:rsid w:val="002A68A3"/>
    <w:rsid w:val="002A7E1E"/>
    <w:rsid w:val="002B3D71"/>
    <w:rsid w:val="002B6FBA"/>
    <w:rsid w:val="002E079D"/>
    <w:rsid w:val="002F6C1A"/>
    <w:rsid w:val="00302BD8"/>
    <w:rsid w:val="00303FCC"/>
    <w:rsid w:val="00313E5F"/>
    <w:rsid w:val="003164FA"/>
    <w:rsid w:val="0032402A"/>
    <w:rsid w:val="00326D05"/>
    <w:rsid w:val="003338DF"/>
    <w:rsid w:val="00334B80"/>
    <w:rsid w:val="0034043A"/>
    <w:rsid w:val="003437A4"/>
    <w:rsid w:val="00343F58"/>
    <w:rsid w:val="003568F4"/>
    <w:rsid w:val="00357AA7"/>
    <w:rsid w:val="0036169B"/>
    <w:rsid w:val="0036232B"/>
    <w:rsid w:val="00362DAD"/>
    <w:rsid w:val="00370D6A"/>
    <w:rsid w:val="0037716A"/>
    <w:rsid w:val="0038215B"/>
    <w:rsid w:val="003900B2"/>
    <w:rsid w:val="00397D34"/>
    <w:rsid w:val="003A6B9D"/>
    <w:rsid w:val="003A6D3D"/>
    <w:rsid w:val="003C00D0"/>
    <w:rsid w:val="003C19B3"/>
    <w:rsid w:val="003C7C6D"/>
    <w:rsid w:val="003D17BB"/>
    <w:rsid w:val="003D60AC"/>
    <w:rsid w:val="003E0158"/>
    <w:rsid w:val="003F123A"/>
    <w:rsid w:val="003F4990"/>
    <w:rsid w:val="0040277D"/>
    <w:rsid w:val="0040345C"/>
    <w:rsid w:val="00433D68"/>
    <w:rsid w:val="004342D2"/>
    <w:rsid w:val="00440D3A"/>
    <w:rsid w:val="00441805"/>
    <w:rsid w:val="00443313"/>
    <w:rsid w:val="00452CB4"/>
    <w:rsid w:val="00455F50"/>
    <w:rsid w:val="00457071"/>
    <w:rsid w:val="0046396E"/>
    <w:rsid w:val="004736EE"/>
    <w:rsid w:val="004767A3"/>
    <w:rsid w:val="0048221B"/>
    <w:rsid w:val="00483150"/>
    <w:rsid w:val="004860CA"/>
    <w:rsid w:val="00492CBD"/>
    <w:rsid w:val="004A0C4F"/>
    <w:rsid w:val="004B01B9"/>
    <w:rsid w:val="004B3223"/>
    <w:rsid w:val="004B630C"/>
    <w:rsid w:val="004C0C61"/>
    <w:rsid w:val="004C30C5"/>
    <w:rsid w:val="004D1BEA"/>
    <w:rsid w:val="004E4271"/>
    <w:rsid w:val="004F08C9"/>
    <w:rsid w:val="004F1945"/>
    <w:rsid w:val="004F72F5"/>
    <w:rsid w:val="005024C5"/>
    <w:rsid w:val="00503FF6"/>
    <w:rsid w:val="0051051F"/>
    <w:rsid w:val="00514B6B"/>
    <w:rsid w:val="005159F7"/>
    <w:rsid w:val="00517CF0"/>
    <w:rsid w:val="00521291"/>
    <w:rsid w:val="0052142F"/>
    <w:rsid w:val="005274C0"/>
    <w:rsid w:val="005311C2"/>
    <w:rsid w:val="00531EDD"/>
    <w:rsid w:val="0053212F"/>
    <w:rsid w:val="00532237"/>
    <w:rsid w:val="00537583"/>
    <w:rsid w:val="00540E1D"/>
    <w:rsid w:val="005449BA"/>
    <w:rsid w:val="00545770"/>
    <w:rsid w:val="005457F7"/>
    <w:rsid w:val="00556FE0"/>
    <w:rsid w:val="005601BB"/>
    <w:rsid w:val="00561BF4"/>
    <w:rsid w:val="00566F6D"/>
    <w:rsid w:val="00573FFB"/>
    <w:rsid w:val="00574C20"/>
    <w:rsid w:val="0058266D"/>
    <w:rsid w:val="005A4C84"/>
    <w:rsid w:val="005A5C0F"/>
    <w:rsid w:val="005A6DBE"/>
    <w:rsid w:val="005B08B9"/>
    <w:rsid w:val="005B42BE"/>
    <w:rsid w:val="005B5447"/>
    <w:rsid w:val="005B7DED"/>
    <w:rsid w:val="005C4631"/>
    <w:rsid w:val="005D06A3"/>
    <w:rsid w:val="005D3234"/>
    <w:rsid w:val="005D52C9"/>
    <w:rsid w:val="005E59E1"/>
    <w:rsid w:val="005F434D"/>
    <w:rsid w:val="00606B29"/>
    <w:rsid w:val="0062196D"/>
    <w:rsid w:val="00622414"/>
    <w:rsid w:val="00622554"/>
    <w:rsid w:val="00626E2C"/>
    <w:rsid w:val="00666D54"/>
    <w:rsid w:val="006752BC"/>
    <w:rsid w:val="00676E12"/>
    <w:rsid w:val="006818F5"/>
    <w:rsid w:val="00687CEE"/>
    <w:rsid w:val="00691DD9"/>
    <w:rsid w:val="00693028"/>
    <w:rsid w:val="0069467F"/>
    <w:rsid w:val="006965E0"/>
    <w:rsid w:val="006A01A3"/>
    <w:rsid w:val="006A3233"/>
    <w:rsid w:val="006A590C"/>
    <w:rsid w:val="006B6C52"/>
    <w:rsid w:val="006C212D"/>
    <w:rsid w:val="006C69CB"/>
    <w:rsid w:val="006C6BA8"/>
    <w:rsid w:val="006D30EA"/>
    <w:rsid w:val="006D6456"/>
    <w:rsid w:val="006E5DE7"/>
    <w:rsid w:val="006E5EA2"/>
    <w:rsid w:val="006E6CA3"/>
    <w:rsid w:val="00705DA8"/>
    <w:rsid w:val="00707127"/>
    <w:rsid w:val="007157E7"/>
    <w:rsid w:val="00724477"/>
    <w:rsid w:val="00736501"/>
    <w:rsid w:val="007417DB"/>
    <w:rsid w:val="0075095B"/>
    <w:rsid w:val="0076113E"/>
    <w:rsid w:val="00791511"/>
    <w:rsid w:val="007946F6"/>
    <w:rsid w:val="00795C5E"/>
    <w:rsid w:val="007A7CD7"/>
    <w:rsid w:val="007B144B"/>
    <w:rsid w:val="007B16F6"/>
    <w:rsid w:val="007C2377"/>
    <w:rsid w:val="007D7549"/>
    <w:rsid w:val="007E3750"/>
    <w:rsid w:val="007E3B50"/>
    <w:rsid w:val="007E5A6B"/>
    <w:rsid w:val="007E62C6"/>
    <w:rsid w:val="007F5A56"/>
    <w:rsid w:val="007F5E2A"/>
    <w:rsid w:val="00801559"/>
    <w:rsid w:val="008031D4"/>
    <w:rsid w:val="00806C78"/>
    <w:rsid w:val="00814DC6"/>
    <w:rsid w:val="00816ACA"/>
    <w:rsid w:val="00822867"/>
    <w:rsid w:val="00836327"/>
    <w:rsid w:val="00837ECA"/>
    <w:rsid w:val="00846AB8"/>
    <w:rsid w:val="00854CA3"/>
    <w:rsid w:val="00860CFD"/>
    <w:rsid w:val="008623F7"/>
    <w:rsid w:val="00870A16"/>
    <w:rsid w:val="00871478"/>
    <w:rsid w:val="00873A75"/>
    <w:rsid w:val="00877143"/>
    <w:rsid w:val="00877E48"/>
    <w:rsid w:val="008870F9"/>
    <w:rsid w:val="00895914"/>
    <w:rsid w:val="00896816"/>
    <w:rsid w:val="008A1B4C"/>
    <w:rsid w:val="008A2BD6"/>
    <w:rsid w:val="008A4DD8"/>
    <w:rsid w:val="008B2E04"/>
    <w:rsid w:val="008B4D63"/>
    <w:rsid w:val="008B690D"/>
    <w:rsid w:val="008C0304"/>
    <w:rsid w:val="008C6411"/>
    <w:rsid w:val="008C78E3"/>
    <w:rsid w:val="008D7E6A"/>
    <w:rsid w:val="008E17A7"/>
    <w:rsid w:val="008E5A80"/>
    <w:rsid w:val="008E5E66"/>
    <w:rsid w:val="008F0439"/>
    <w:rsid w:val="009057E6"/>
    <w:rsid w:val="00905DD9"/>
    <w:rsid w:val="00907F7A"/>
    <w:rsid w:val="00911469"/>
    <w:rsid w:val="009138C2"/>
    <w:rsid w:val="009158E1"/>
    <w:rsid w:val="00915A43"/>
    <w:rsid w:val="00921728"/>
    <w:rsid w:val="009245C9"/>
    <w:rsid w:val="00925396"/>
    <w:rsid w:val="00933A87"/>
    <w:rsid w:val="00933C31"/>
    <w:rsid w:val="009363F4"/>
    <w:rsid w:val="0094422A"/>
    <w:rsid w:val="00950752"/>
    <w:rsid w:val="00950DCE"/>
    <w:rsid w:val="0095539D"/>
    <w:rsid w:val="00960AE0"/>
    <w:rsid w:val="00963121"/>
    <w:rsid w:val="009663E0"/>
    <w:rsid w:val="00967747"/>
    <w:rsid w:val="00975199"/>
    <w:rsid w:val="009766DD"/>
    <w:rsid w:val="00981BAF"/>
    <w:rsid w:val="0099036C"/>
    <w:rsid w:val="009A14D7"/>
    <w:rsid w:val="009A3995"/>
    <w:rsid w:val="009B4C3E"/>
    <w:rsid w:val="009C6E78"/>
    <w:rsid w:val="009D0C61"/>
    <w:rsid w:val="009E2E55"/>
    <w:rsid w:val="009E4B15"/>
    <w:rsid w:val="009F12BE"/>
    <w:rsid w:val="00A00E6E"/>
    <w:rsid w:val="00A03663"/>
    <w:rsid w:val="00A07584"/>
    <w:rsid w:val="00A133F7"/>
    <w:rsid w:val="00A14542"/>
    <w:rsid w:val="00A1507A"/>
    <w:rsid w:val="00A202CE"/>
    <w:rsid w:val="00A214FA"/>
    <w:rsid w:val="00A23953"/>
    <w:rsid w:val="00A3383A"/>
    <w:rsid w:val="00A3396E"/>
    <w:rsid w:val="00A41F51"/>
    <w:rsid w:val="00A435F7"/>
    <w:rsid w:val="00A446F1"/>
    <w:rsid w:val="00A46AA8"/>
    <w:rsid w:val="00A50E71"/>
    <w:rsid w:val="00A52417"/>
    <w:rsid w:val="00A72CDB"/>
    <w:rsid w:val="00A75684"/>
    <w:rsid w:val="00A82718"/>
    <w:rsid w:val="00A83390"/>
    <w:rsid w:val="00A9657F"/>
    <w:rsid w:val="00A96B7D"/>
    <w:rsid w:val="00A972C9"/>
    <w:rsid w:val="00AA3CEB"/>
    <w:rsid w:val="00AB2502"/>
    <w:rsid w:val="00AC4033"/>
    <w:rsid w:val="00AC525E"/>
    <w:rsid w:val="00AD2D83"/>
    <w:rsid w:val="00AD7E58"/>
    <w:rsid w:val="00AE0429"/>
    <w:rsid w:val="00AF2A34"/>
    <w:rsid w:val="00AF3C2E"/>
    <w:rsid w:val="00AF4311"/>
    <w:rsid w:val="00B07C0A"/>
    <w:rsid w:val="00B10126"/>
    <w:rsid w:val="00B113EB"/>
    <w:rsid w:val="00B11C2C"/>
    <w:rsid w:val="00B11F50"/>
    <w:rsid w:val="00B1732A"/>
    <w:rsid w:val="00B2399F"/>
    <w:rsid w:val="00B24DE2"/>
    <w:rsid w:val="00B33134"/>
    <w:rsid w:val="00B53597"/>
    <w:rsid w:val="00B54BF2"/>
    <w:rsid w:val="00B66484"/>
    <w:rsid w:val="00B74AD0"/>
    <w:rsid w:val="00B93BE3"/>
    <w:rsid w:val="00B9529E"/>
    <w:rsid w:val="00B9639D"/>
    <w:rsid w:val="00B964E2"/>
    <w:rsid w:val="00B976E3"/>
    <w:rsid w:val="00B97CC9"/>
    <w:rsid w:val="00BA5871"/>
    <w:rsid w:val="00BA641A"/>
    <w:rsid w:val="00BB28FA"/>
    <w:rsid w:val="00BB3AAC"/>
    <w:rsid w:val="00BB70B6"/>
    <w:rsid w:val="00BC69AC"/>
    <w:rsid w:val="00BD3FF8"/>
    <w:rsid w:val="00BD44E7"/>
    <w:rsid w:val="00BD523E"/>
    <w:rsid w:val="00BD78E6"/>
    <w:rsid w:val="00BE4862"/>
    <w:rsid w:val="00BE7D38"/>
    <w:rsid w:val="00BF04D7"/>
    <w:rsid w:val="00C035AC"/>
    <w:rsid w:val="00C05E0B"/>
    <w:rsid w:val="00C06803"/>
    <w:rsid w:val="00C12A96"/>
    <w:rsid w:val="00C1436C"/>
    <w:rsid w:val="00C15F93"/>
    <w:rsid w:val="00C16897"/>
    <w:rsid w:val="00C21710"/>
    <w:rsid w:val="00C266D6"/>
    <w:rsid w:val="00C303B7"/>
    <w:rsid w:val="00C3088C"/>
    <w:rsid w:val="00C3403A"/>
    <w:rsid w:val="00C41186"/>
    <w:rsid w:val="00C424D3"/>
    <w:rsid w:val="00C46D31"/>
    <w:rsid w:val="00C6031A"/>
    <w:rsid w:val="00C61BC8"/>
    <w:rsid w:val="00C62146"/>
    <w:rsid w:val="00C63D69"/>
    <w:rsid w:val="00C7102F"/>
    <w:rsid w:val="00C87584"/>
    <w:rsid w:val="00C90210"/>
    <w:rsid w:val="00C91362"/>
    <w:rsid w:val="00CB0930"/>
    <w:rsid w:val="00CB1AC6"/>
    <w:rsid w:val="00CB7091"/>
    <w:rsid w:val="00CC277E"/>
    <w:rsid w:val="00CD59A9"/>
    <w:rsid w:val="00CE2CEB"/>
    <w:rsid w:val="00CE4E41"/>
    <w:rsid w:val="00D01254"/>
    <w:rsid w:val="00D05CF6"/>
    <w:rsid w:val="00D14E46"/>
    <w:rsid w:val="00D172AA"/>
    <w:rsid w:val="00D32CCF"/>
    <w:rsid w:val="00D3482F"/>
    <w:rsid w:val="00D36352"/>
    <w:rsid w:val="00D37ADE"/>
    <w:rsid w:val="00D40782"/>
    <w:rsid w:val="00D43654"/>
    <w:rsid w:val="00D4575D"/>
    <w:rsid w:val="00D458F5"/>
    <w:rsid w:val="00D519D8"/>
    <w:rsid w:val="00D54408"/>
    <w:rsid w:val="00D54AFC"/>
    <w:rsid w:val="00D634F6"/>
    <w:rsid w:val="00D63A74"/>
    <w:rsid w:val="00D63D76"/>
    <w:rsid w:val="00D66551"/>
    <w:rsid w:val="00D72CCD"/>
    <w:rsid w:val="00D77B39"/>
    <w:rsid w:val="00D81380"/>
    <w:rsid w:val="00D8727C"/>
    <w:rsid w:val="00D907C3"/>
    <w:rsid w:val="00D93A33"/>
    <w:rsid w:val="00D94B63"/>
    <w:rsid w:val="00DA5499"/>
    <w:rsid w:val="00DB549F"/>
    <w:rsid w:val="00DB5CF1"/>
    <w:rsid w:val="00DC1325"/>
    <w:rsid w:val="00DD1759"/>
    <w:rsid w:val="00DD1AB8"/>
    <w:rsid w:val="00DD49A8"/>
    <w:rsid w:val="00DE14D7"/>
    <w:rsid w:val="00DE624C"/>
    <w:rsid w:val="00E03C92"/>
    <w:rsid w:val="00E057B4"/>
    <w:rsid w:val="00E0690E"/>
    <w:rsid w:val="00E07715"/>
    <w:rsid w:val="00E12728"/>
    <w:rsid w:val="00E156AD"/>
    <w:rsid w:val="00E24A09"/>
    <w:rsid w:val="00E25FCC"/>
    <w:rsid w:val="00E31773"/>
    <w:rsid w:val="00E34C5B"/>
    <w:rsid w:val="00E35F64"/>
    <w:rsid w:val="00E36B39"/>
    <w:rsid w:val="00E419EA"/>
    <w:rsid w:val="00E43D5A"/>
    <w:rsid w:val="00E50F28"/>
    <w:rsid w:val="00E51BEC"/>
    <w:rsid w:val="00E631A7"/>
    <w:rsid w:val="00E663C9"/>
    <w:rsid w:val="00E675EA"/>
    <w:rsid w:val="00E67E84"/>
    <w:rsid w:val="00E758EA"/>
    <w:rsid w:val="00E76F41"/>
    <w:rsid w:val="00E900D9"/>
    <w:rsid w:val="00EA00A1"/>
    <w:rsid w:val="00EB0111"/>
    <w:rsid w:val="00EB3162"/>
    <w:rsid w:val="00EB3A09"/>
    <w:rsid w:val="00EB43B6"/>
    <w:rsid w:val="00EC1B21"/>
    <w:rsid w:val="00ED30FE"/>
    <w:rsid w:val="00EE1A2D"/>
    <w:rsid w:val="00EE1BB3"/>
    <w:rsid w:val="00EE2728"/>
    <w:rsid w:val="00EE7CC0"/>
    <w:rsid w:val="00EE7DA1"/>
    <w:rsid w:val="00EF2D7F"/>
    <w:rsid w:val="00F045EA"/>
    <w:rsid w:val="00F1063D"/>
    <w:rsid w:val="00F17356"/>
    <w:rsid w:val="00F26DDE"/>
    <w:rsid w:val="00F32785"/>
    <w:rsid w:val="00F3531F"/>
    <w:rsid w:val="00F47B6C"/>
    <w:rsid w:val="00F50BFB"/>
    <w:rsid w:val="00F52D0A"/>
    <w:rsid w:val="00F61647"/>
    <w:rsid w:val="00F67D1C"/>
    <w:rsid w:val="00F72262"/>
    <w:rsid w:val="00F72C6F"/>
    <w:rsid w:val="00F834D8"/>
    <w:rsid w:val="00F839D6"/>
    <w:rsid w:val="00F848A4"/>
    <w:rsid w:val="00F95E6D"/>
    <w:rsid w:val="00FA61AE"/>
    <w:rsid w:val="00FB4C5E"/>
    <w:rsid w:val="00FB513B"/>
    <w:rsid w:val="00FB5753"/>
    <w:rsid w:val="00FB705E"/>
    <w:rsid w:val="00FB7860"/>
    <w:rsid w:val="00FC040D"/>
    <w:rsid w:val="00FD145F"/>
    <w:rsid w:val="00FD4A83"/>
    <w:rsid w:val="00FD691C"/>
    <w:rsid w:val="00FE0C66"/>
    <w:rsid w:val="00FE30C3"/>
    <w:rsid w:val="00FE5AB1"/>
    <w:rsid w:val="00FF3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6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D1C"/>
    <w:pPr>
      <w:spacing w:after="0" w:line="240" w:lineRule="auto"/>
    </w:pPr>
    <w:rPr>
      <w:rFonts w:ascii="Calibri" w:eastAsia="Calibri" w:hAnsi="Calibri" w:cs="Times New Roman"/>
    </w:rPr>
  </w:style>
  <w:style w:type="paragraph" w:styleId="ListParagraph">
    <w:name w:val="List Paragraph"/>
    <w:basedOn w:val="Normal"/>
    <w:uiPriority w:val="34"/>
    <w:qFormat/>
    <w:rsid w:val="00F67D1C"/>
    <w:pPr>
      <w:spacing w:after="0" w:line="240" w:lineRule="auto"/>
      <w:ind w:left="720"/>
      <w:contextualSpacing/>
    </w:pPr>
    <w:rPr>
      <w:rFonts w:ascii="Century Gothic" w:eastAsiaTheme="minorHAnsi" w:hAnsi="Century Gothic" w:cstheme="minorBidi"/>
    </w:rPr>
  </w:style>
  <w:style w:type="character" w:styleId="Strong">
    <w:name w:val="Strong"/>
    <w:basedOn w:val="DefaultParagraphFont"/>
    <w:qFormat/>
    <w:rsid w:val="000B7381"/>
    <w:rPr>
      <w:b/>
      <w:bCs/>
    </w:rPr>
  </w:style>
  <w:style w:type="character" w:styleId="Hyperlink">
    <w:name w:val="Hyperlink"/>
    <w:basedOn w:val="DefaultParagraphFont"/>
    <w:uiPriority w:val="99"/>
    <w:unhideWhenUsed/>
    <w:rsid w:val="007B16F6"/>
    <w:rPr>
      <w:color w:val="0563C1" w:themeColor="hyperlink"/>
      <w:u w:val="single"/>
    </w:rPr>
  </w:style>
  <w:style w:type="paragraph" w:styleId="Header">
    <w:name w:val="header"/>
    <w:basedOn w:val="Normal"/>
    <w:link w:val="HeaderChar"/>
    <w:uiPriority w:val="99"/>
    <w:unhideWhenUsed/>
    <w:rsid w:val="007B1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F6"/>
    <w:rPr>
      <w:rFonts w:ascii="Calibri" w:eastAsia="Calibri" w:hAnsi="Calibri" w:cs="Times New Roman"/>
    </w:rPr>
  </w:style>
  <w:style w:type="paragraph" w:styleId="Footer">
    <w:name w:val="footer"/>
    <w:basedOn w:val="Normal"/>
    <w:link w:val="FooterChar"/>
    <w:uiPriority w:val="99"/>
    <w:unhideWhenUsed/>
    <w:rsid w:val="007B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F6"/>
    <w:rPr>
      <w:rFonts w:ascii="Calibri" w:eastAsia="Calibri" w:hAnsi="Calibri" w:cs="Times New Roman"/>
    </w:rPr>
  </w:style>
  <w:style w:type="paragraph" w:styleId="BalloonText">
    <w:name w:val="Balloon Text"/>
    <w:basedOn w:val="Normal"/>
    <w:link w:val="BalloonTextChar"/>
    <w:uiPriority w:val="99"/>
    <w:semiHidden/>
    <w:unhideWhenUsed/>
    <w:rsid w:val="005B7D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DE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D1C"/>
    <w:pPr>
      <w:spacing w:after="0" w:line="240" w:lineRule="auto"/>
    </w:pPr>
    <w:rPr>
      <w:rFonts w:ascii="Calibri" w:eastAsia="Calibri" w:hAnsi="Calibri" w:cs="Times New Roman"/>
    </w:rPr>
  </w:style>
  <w:style w:type="paragraph" w:styleId="ListParagraph">
    <w:name w:val="List Paragraph"/>
    <w:basedOn w:val="Normal"/>
    <w:uiPriority w:val="34"/>
    <w:qFormat/>
    <w:rsid w:val="00F67D1C"/>
    <w:pPr>
      <w:spacing w:after="0" w:line="240" w:lineRule="auto"/>
      <w:ind w:left="720"/>
      <w:contextualSpacing/>
    </w:pPr>
    <w:rPr>
      <w:rFonts w:ascii="Century Gothic" w:eastAsiaTheme="minorHAnsi" w:hAnsi="Century Gothic" w:cstheme="minorBidi"/>
    </w:rPr>
  </w:style>
  <w:style w:type="character" w:styleId="Strong">
    <w:name w:val="Strong"/>
    <w:basedOn w:val="DefaultParagraphFont"/>
    <w:qFormat/>
    <w:rsid w:val="000B7381"/>
    <w:rPr>
      <w:b/>
      <w:bCs/>
    </w:rPr>
  </w:style>
  <w:style w:type="character" w:styleId="Hyperlink">
    <w:name w:val="Hyperlink"/>
    <w:basedOn w:val="DefaultParagraphFont"/>
    <w:uiPriority w:val="99"/>
    <w:unhideWhenUsed/>
    <w:rsid w:val="007B16F6"/>
    <w:rPr>
      <w:color w:val="0563C1" w:themeColor="hyperlink"/>
      <w:u w:val="single"/>
    </w:rPr>
  </w:style>
  <w:style w:type="paragraph" w:styleId="Header">
    <w:name w:val="header"/>
    <w:basedOn w:val="Normal"/>
    <w:link w:val="HeaderChar"/>
    <w:uiPriority w:val="99"/>
    <w:unhideWhenUsed/>
    <w:rsid w:val="007B1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6F6"/>
    <w:rPr>
      <w:rFonts w:ascii="Calibri" w:eastAsia="Calibri" w:hAnsi="Calibri" w:cs="Times New Roman"/>
    </w:rPr>
  </w:style>
  <w:style w:type="paragraph" w:styleId="Footer">
    <w:name w:val="footer"/>
    <w:basedOn w:val="Normal"/>
    <w:link w:val="FooterChar"/>
    <w:uiPriority w:val="99"/>
    <w:unhideWhenUsed/>
    <w:rsid w:val="007B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6F6"/>
    <w:rPr>
      <w:rFonts w:ascii="Calibri" w:eastAsia="Calibri" w:hAnsi="Calibri" w:cs="Times New Roman"/>
    </w:rPr>
  </w:style>
  <w:style w:type="paragraph" w:styleId="BalloonText">
    <w:name w:val="Balloon Text"/>
    <w:basedOn w:val="Normal"/>
    <w:link w:val="BalloonTextChar"/>
    <w:uiPriority w:val="99"/>
    <w:semiHidden/>
    <w:unhideWhenUsed/>
    <w:rsid w:val="005B7D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DE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am@shca.inf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1907145D62408E4C35EE7FECBBD1" ma:contentTypeVersion="0" ma:contentTypeDescription="Create a new document." ma:contentTypeScope="" ma:versionID="fb3e67932061ffb41064f4bb46ed3f78">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87EDC-20B1-4239-B09C-10B39DD9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C4F880-02F7-41EE-9F50-70C0796A655B}">
  <ds:schemaRefs>
    <ds:schemaRef ds:uri="http://schemas.microsoft.com/sharepoint/v3/contenttype/forms"/>
  </ds:schemaRefs>
</ds:datastoreItem>
</file>

<file path=customXml/itemProps3.xml><?xml version="1.0" encoding="utf-8"?>
<ds:datastoreItem xmlns:ds="http://schemas.openxmlformats.org/officeDocument/2006/customXml" ds:itemID="{F14914F3-57C7-47C2-A03E-F368B1A18069}">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5469</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Wilkinson</dc:creator>
  <cp:keywords/>
  <dc:description/>
  <cp:lastModifiedBy>Chloe Hayward</cp:lastModifiedBy>
  <cp:revision>2</cp:revision>
  <dcterms:created xsi:type="dcterms:W3CDTF">2015-01-07T13:12:00Z</dcterms:created>
  <dcterms:modified xsi:type="dcterms:W3CDTF">2015-01-07T13:12:00Z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0x0101006D6D1907145D62408E4C35EE7FECBBD1</vt:lpwstr>
  </property>
</Properties>
</file>